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14CF39E" w14:textId="77777777" w:rsidR="00523839" w:rsidRDefault="00523839" w:rsidP="00523839">
      <w:pPr>
        <w:spacing w:before="120" w:after="120" w:line="240" w:lineRule="auto"/>
        <w:jc w:val="right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</w:rPr>
        <w:t>III.</w:t>
      </w:r>
    </w:p>
    <w:p w14:paraId="602AD940" w14:textId="7B087880" w:rsidR="00523839" w:rsidRDefault="00523839" w:rsidP="00523839">
      <w:pPr>
        <w:spacing w:before="12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Program na podporu aplikovaného výzkumu, experimentálního vývoje a inovací Národní centra kompetence</w:t>
      </w:r>
    </w:p>
    <w:p w14:paraId="6E8E84FB" w14:textId="77777777" w:rsidR="006A6D6C" w:rsidRPr="00A05D79" w:rsidRDefault="00ED1CC2" w:rsidP="0001579F">
      <w:pPr>
        <w:pStyle w:val="Odstavecseseznamem"/>
        <w:numPr>
          <w:ilvl w:val="0"/>
          <w:numId w:val="22"/>
        </w:numPr>
        <w:spacing w:before="360"/>
        <w:ind w:left="714" w:hanging="357"/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NÁZEV PROGRAMU</w:t>
      </w:r>
    </w:p>
    <w:p w14:paraId="6C908F96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 na podporu aplikovaného výzkumu, experimentálního vývoje a inovací Národní centra kompetence (dále jen „program“).</w:t>
      </w:r>
    </w:p>
    <w:p w14:paraId="00E157D2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PRÁVNÍ RÁMEC PROGRAMU</w:t>
      </w:r>
    </w:p>
    <w:p w14:paraId="5FF2BD2C" w14:textId="5608F245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</w:t>
      </w:r>
      <w:r w:rsidR="00A5666E">
        <w:rPr>
          <w:rFonts w:ascii="Arial" w:eastAsia="Arial" w:hAnsi="Arial" w:cs="Arial"/>
        </w:rPr>
        <w:t xml:space="preserve"> je </w:t>
      </w:r>
      <w:r>
        <w:rPr>
          <w:rFonts w:ascii="Arial" w:eastAsia="Arial" w:hAnsi="Arial" w:cs="Arial"/>
        </w:rPr>
        <w:t>realizován podle:</w:t>
      </w:r>
    </w:p>
    <w:p w14:paraId="7E502F6D" w14:textId="77777777" w:rsidR="006A6D6C" w:rsidRDefault="00ED1CC2">
      <w:pPr>
        <w:numPr>
          <w:ilvl w:val="0"/>
          <w:numId w:val="1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 xml:space="preserve">Zákona č. 130/2002 Sb., o podpoře výzkumu, experimentálního vývoje a inovací z veřejných prostředků a o změně některých souvisejících zákonů (dále jen “zákon </w:t>
      </w:r>
      <w:r>
        <w:rPr>
          <w:rFonts w:ascii="Arial" w:eastAsia="Arial" w:hAnsi="Arial" w:cs="Arial"/>
        </w:rPr>
        <w:br/>
        <w:t>o podpoře výzkumu, experimentálního vývoje a inovací”), ve znění pozdějších předpisů;</w:t>
      </w:r>
    </w:p>
    <w:p w14:paraId="65386A39" w14:textId="77777777" w:rsidR="006A6D6C" w:rsidRDefault="00ED1CC2">
      <w:pPr>
        <w:numPr>
          <w:ilvl w:val="0"/>
          <w:numId w:val="1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Smlouvy o fungování Evropské unie 2012/C 326/01, (zejména článek 107, případně také články 93 a 106);</w:t>
      </w:r>
    </w:p>
    <w:p w14:paraId="404FEFD6" w14:textId="77777777" w:rsidR="006A6D6C" w:rsidRDefault="00ED1CC2">
      <w:pPr>
        <w:numPr>
          <w:ilvl w:val="0"/>
          <w:numId w:val="1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Nařízení Komise (EU) č. 651/2014 ze dne 17. června 2014, ve znění novely, která byla provedena Nařízením č. 2017/1084 ze dne 14. června 2017,</w:t>
      </w:r>
      <w:r>
        <w:t xml:space="preserve"> </w:t>
      </w:r>
      <w:r>
        <w:rPr>
          <w:rFonts w:ascii="Arial" w:eastAsia="Arial" w:hAnsi="Arial" w:cs="Arial"/>
        </w:rPr>
        <w:t xml:space="preserve">kterým se v souladu s články 107 a 108 Smlouvy prohlašují určité kategorie podpory za slučitelné s vnitřním </w:t>
      </w:r>
      <w:proofErr w:type="gramStart"/>
      <w:r>
        <w:rPr>
          <w:rFonts w:ascii="Arial" w:eastAsia="Arial" w:hAnsi="Arial" w:cs="Arial"/>
        </w:rPr>
        <w:t>trhem - Úřední</w:t>
      </w:r>
      <w:proofErr w:type="gramEnd"/>
      <w:r>
        <w:rPr>
          <w:rFonts w:ascii="Arial" w:eastAsia="Arial" w:hAnsi="Arial" w:cs="Arial"/>
        </w:rPr>
        <w:t xml:space="preserve"> věstník Evropské unie L 187, 26. června 2014 (dále jen „Nařízení“), zejm. čl. 25; </w:t>
      </w:r>
    </w:p>
    <w:p w14:paraId="55B0CA7E" w14:textId="77777777" w:rsidR="006A6D6C" w:rsidRDefault="00ED1CC2">
      <w:pPr>
        <w:numPr>
          <w:ilvl w:val="0"/>
          <w:numId w:val="1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Rámce pro státní podporu výzkumu, vývoje a inovací – Úřední věstník Evropské unie C 198, 27. června 2014 (dále jen „Rámec“);</w:t>
      </w:r>
    </w:p>
    <w:p w14:paraId="7A55373C" w14:textId="77777777" w:rsidR="006A6D6C" w:rsidRDefault="00ED1CC2">
      <w:pPr>
        <w:numPr>
          <w:ilvl w:val="0"/>
          <w:numId w:val="1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a podle ostatních souvisejících předpisů.</w:t>
      </w:r>
    </w:p>
    <w:p w14:paraId="3234F57B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 je vyňat z oznamovací povinnosti podle čl. 108 odst. 3 Smlouvy o fungování Evropské unie, neboť splňuje podmínky Nařízení.</w:t>
      </w:r>
    </w:p>
    <w:p w14:paraId="34BA2CC0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rámci tohoto programu je vyloučeno vyplacení jednotlivé podpory ve prospěch podniku:</w:t>
      </w:r>
    </w:p>
    <w:p w14:paraId="65539D03" w14:textId="33BD0F52" w:rsidR="006A6D6C" w:rsidRDefault="00ED1CC2" w:rsidP="00A5666E">
      <w:pPr>
        <w:numPr>
          <w:ilvl w:val="0"/>
          <w:numId w:val="4"/>
        </w:numPr>
        <w:spacing w:before="120" w:after="120"/>
        <w:ind w:hanging="360"/>
        <w:jc w:val="both"/>
      </w:pPr>
      <w:r w:rsidRPr="00A5666E">
        <w:rPr>
          <w:rFonts w:ascii="Arial" w:eastAsia="Arial" w:hAnsi="Arial" w:cs="Arial"/>
        </w:rPr>
        <w:t>vůči němuž byl v návaznosti na rozhodnutí Evropské</w:t>
      </w:r>
      <w:r w:rsidR="00EB50FB">
        <w:rPr>
          <w:rFonts w:ascii="Arial" w:eastAsia="Arial" w:hAnsi="Arial" w:cs="Arial"/>
        </w:rPr>
        <w:t xml:space="preserve"> Komise vystaven inkasní příkaz, který je nesplacený</w:t>
      </w:r>
      <w:r w:rsidRPr="00A5666E">
        <w:rPr>
          <w:rFonts w:ascii="Arial" w:eastAsia="Arial" w:hAnsi="Arial" w:cs="Arial"/>
        </w:rPr>
        <w:t xml:space="preserve">, na základě kterého/jímž byla podpora obdržená od poskytovatele z České republiky prohlášena za protiprávní a neslučitelnou s vnitřním trhem, </w:t>
      </w:r>
    </w:p>
    <w:p w14:paraId="53BB5F12" w14:textId="77777777" w:rsidR="006A6D6C" w:rsidRDefault="00ED1CC2" w:rsidP="00A5666E">
      <w:pPr>
        <w:numPr>
          <w:ilvl w:val="0"/>
          <w:numId w:val="4"/>
        </w:numPr>
        <w:spacing w:before="120" w:after="120"/>
        <w:ind w:hanging="360"/>
        <w:jc w:val="both"/>
      </w:pPr>
      <w:r w:rsidRPr="00A5666E">
        <w:rPr>
          <w:rFonts w:ascii="Arial" w:eastAsia="Arial" w:hAnsi="Arial" w:cs="Arial"/>
        </w:rPr>
        <w:t>splňujícímu definici podniku v obtížích uvedenou v čl. 2, odst. 18) Nařízení.</w:t>
      </w:r>
    </w:p>
    <w:p w14:paraId="563B0D5B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Pokud jeden podnik obdrží v rámci programu veřejnou podporu vyšší než 500 tis. EUR, budou informace o příjemci a jemu poskytnuté podpoře (v rozsahu dle přílohy III Nařízení) zveřejněny na centrální webové stránce ve smyslu čl. 9 Nařízení.</w:t>
      </w:r>
    </w:p>
    <w:p w14:paraId="624B148C" w14:textId="70914547" w:rsidR="006A6D6C" w:rsidRPr="00EB50FB" w:rsidRDefault="00ED1CC2" w:rsidP="00EB50FB">
      <w:pPr>
        <w:spacing w:before="120" w:after="120"/>
        <w:jc w:val="both"/>
        <w:rPr>
          <w:rFonts w:ascii="Arial" w:eastAsia="Arial" w:hAnsi="Arial" w:cs="Arial"/>
        </w:rPr>
      </w:pPr>
      <w:bookmarkStart w:id="0" w:name="_gjdgxs" w:colFirst="0" w:colLast="0"/>
      <w:bookmarkEnd w:id="0"/>
      <w:r>
        <w:rPr>
          <w:rFonts w:ascii="Arial" w:eastAsia="Arial" w:hAnsi="Arial" w:cs="Arial"/>
        </w:rPr>
        <w:t xml:space="preserve">Program </w:t>
      </w:r>
      <w:r w:rsidR="00EB50FB">
        <w:rPr>
          <w:rFonts w:ascii="Arial" w:eastAsia="Arial" w:hAnsi="Arial" w:cs="Arial"/>
        </w:rPr>
        <w:t>je</w:t>
      </w:r>
      <w:r>
        <w:rPr>
          <w:rFonts w:ascii="Arial" w:eastAsia="Arial" w:hAnsi="Arial" w:cs="Arial"/>
        </w:rPr>
        <w:t xml:space="preserve"> realizován v souladu s</w:t>
      </w:r>
      <w:r w:rsidR="00EB50FB">
        <w:rPr>
          <w:rFonts w:ascii="Arial" w:eastAsia="Arial" w:hAnsi="Arial" w:cs="Arial"/>
        </w:rPr>
        <w:t xml:space="preserve"> </w:t>
      </w:r>
      <w:r w:rsidRPr="00EB50FB">
        <w:rPr>
          <w:rFonts w:ascii="Arial" w:eastAsia="Arial" w:hAnsi="Arial" w:cs="Arial"/>
        </w:rPr>
        <w:t xml:space="preserve">Národní politikou výzkumu, vývoje a inovací České republiky na léta 2016 až 2020 (dále také „NP </w:t>
      </w:r>
      <w:proofErr w:type="spellStart"/>
      <w:r w:rsidRPr="00EB50FB">
        <w:rPr>
          <w:rFonts w:ascii="Arial" w:eastAsia="Arial" w:hAnsi="Arial" w:cs="Arial"/>
        </w:rPr>
        <w:t>VaVaI</w:t>
      </w:r>
      <w:proofErr w:type="spellEnd"/>
      <w:r w:rsidRPr="00EB50FB">
        <w:rPr>
          <w:rFonts w:ascii="Arial" w:eastAsia="Arial" w:hAnsi="Arial" w:cs="Arial"/>
        </w:rPr>
        <w:t xml:space="preserve">“), schválenou usnesením vlády České republiky ze dne 17. února 2016 č. 135, Národními prioritami orientovaného výzkumu, experimentálního vývoje a inovací, které </w:t>
      </w:r>
      <w:r w:rsidR="00A5666E" w:rsidRPr="00EB50FB">
        <w:rPr>
          <w:rFonts w:ascii="Arial" w:eastAsia="Arial" w:hAnsi="Arial" w:cs="Arial"/>
        </w:rPr>
        <w:t xml:space="preserve"> přijala vláda</w:t>
      </w:r>
      <w:r w:rsidRPr="00EB50FB">
        <w:rPr>
          <w:rFonts w:ascii="Arial" w:eastAsia="Arial" w:hAnsi="Arial" w:cs="Arial"/>
        </w:rPr>
        <w:t xml:space="preserve"> usnesením  ze dne 19. července 2012 č. 552 (dále jen „NPOV“), aktualizovanou Národní výzkumnou a inovační strategií pro inteligentní specializaci České republiky</w:t>
      </w:r>
      <w:r w:rsidR="00EB50FB">
        <w:rPr>
          <w:rFonts w:ascii="Arial" w:eastAsia="Arial" w:hAnsi="Arial" w:cs="Arial"/>
        </w:rPr>
        <w:t xml:space="preserve"> (dále také „</w:t>
      </w:r>
      <w:r w:rsidR="00FC64FF">
        <w:rPr>
          <w:rFonts w:ascii="Arial" w:eastAsia="Arial" w:hAnsi="Arial" w:cs="Arial"/>
        </w:rPr>
        <w:t>RIS</w:t>
      </w:r>
      <w:r w:rsidR="00EB50FB">
        <w:rPr>
          <w:rFonts w:ascii="Arial" w:eastAsia="Arial" w:hAnsi="Arial" w:cs="Arial"/>
        </w:rPr>
        <w:t>3“)</w:t>
      </w:r>
      <w:r w:rsidRPr="00EB50FB">
        <w:rPr>
          <w:rFonts w:ascii="Arial" w:eastAsia="Arial" w:hAnsi="Arial" w:cs="Arial"/>
        </w:rPr>
        <w:t>, schvále</w:t>
      </w:r>
      <w:r w:rsidR="00A5666E">
        <w:rPr>
          <w:rFonts w:ascii="Arial" w:eastAsia="Arial" w:hAnsi="Arial" w:cs="Arial"/>
        </w:rPr>
        <w:t>n</w:t>
      </w:r>
      <w:r w:rsidR="00EB50FB">
        <w:rPr>
          <w:rFonts w:ascii="Arial" w:eastAsia="Arial" w:hAnsi="Arial" w:cs="Arial"/>
        </w:rPr>
        <w:t>ou</w:t>
      </w:r>
      <w:r w:rsidRPr="00EB50FB">
        <w:rPr>
          <w:rFonts w:ascii="Arial" w:eastAsia="Arial" w:hAnsi="Arial" w:cs="Arial"/>
        </w:rPr>
        <w:t xml:space="preserve"> usnesením vlády České republiky dne 11. července 2016 č. 634, </w:t>
      </w:r>
      <w:r w:rsidRPr="00EB50FB">
        <w:rPr>
          <w:rFonts w:eastAsia="Arial"/>
        </w:rPr>
        <w:t xml:space="preserve">s </w:t>
      </w:r>
      <w:r w:rsidRPr="00EB50FB">
        <w:rPr>
          <w:rFonts w:ascii="Arial" w:eastAsia="Arial" w:hAnsi="Arial" w:cs="Arial"/>
        </w:rPr>
        <w:t>principy Iniciativy Průmysl 4.0</w:t>
      </w:r>
      <w:r w:rsidR="00D17B0C">
        <w:rPr>
          <w:rFonts w:ascii="Arial" w:eastAsia="Arial" w:hAnsi="Arial" w:cs="Arial"/>
        </w:rPr>
        <w:t>, které vzala</w:t>
      </w:r>
      <w:r w:rsidRPr="00EB50FB">
        <w:rPr>
          <w:rFonts w:ascii="Arial" w:eastAsia="Arial" w:hAnsi="Arial" w:cs="Arial"/>
        </w:rPr>
        <w:t xml:space="preserve"> na</w:t>
      </w:r>
      <w:r w:rsidR="00B62DAA">
        <w:rPr>
          <w:rFonts w:ascii="Arial" w:eastAsia="Arial" w:hAnsi="Arial" w:cs="Arial"/>
        </w:rPr>
        <w:t> </w:t>
      </w:r>
      <w:r w:rsidRPr="00EB50FB">
        <w:rPr>
          <w:rFonts w:ascii="Arial" w:eastAsia="Arial" w:hAnsi="Arial" w:cs="Arial"/>
        </w:rPr>
        <w:t>vědomí vlá</w:t>
      </w:r>
      <w:r w:rsidR="00D17B0C">
        <w:rPr>
          <w:rFonts w:ascii="Arial" w:eastAsia="Arial" w:hAnsi="Arial" w:cs="Arial"/>
        </w:rPr>
        <w:t>da</w:t>
      </w:r>
      <w:r w:rsidRPr="00EB50FB">
        <w:rPr>
          <w:rFonts w:ascii="Arial" w:eastAsia="Arial" w:hAnsi="Arial" w:cs="Arial"/>
        </w:rPr>
        <w:t xml:space="preserve"> usnesením č. 729 dne 24. srpna 2016 a dalšími národními a rezortními </w:t>
      </w:r>
      <w:r w:rsidRPr="00EB50FB">
        <w:rPr>
          <w:rFonts w:ascii="Arial" w:eastAsia="Arial" w:hAnsi="Arial" w:cs="Arial"/>
        </w:rPr>
        <w:lastRenderedPageBreak/>
        <w:t>strategiemi, včetně Strategického rámce hospodářské restrukturalizace Ústeckého, Moravskoslezského a Karlovarského kraje.</w:t>
      </w:r>
    </w:p>
    <w:p w14:paraId="75602270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POSKYTOVATEL</w:t>
      </w:r>
    </w:p>
    <w:p w14:paraId="04160BE4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Poskytovatelem podpory je Technologická agentura České republiky (dále jen „TA ČR“).</w:t>
      </w:r>
    </w:p>
    <w:p w14:paraId="5CD2DE34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IDENTIFIKAČNÍ KÓD PROGRAMU</w:t>
      </w:r>
    </w:p>
    <w:p w14:paraId="20A34975" w14:textId="7CCDD10E" w:rsidR="006A6D6C" w:rsidRDefault="00ED1CC2">
      <w:pPr>
        <w:spacing w:before="120" w:after="120"/>
        <w:jc w:val="both"/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</w:rPr>
        <w:t xml:space="preserve">Pro účely evidence v informačním systému výzkumu, experimentálního vývoje a inovací </w:t>
      </w:r>
      <w:r w:rsidR="00D17B0C">
        <w:rPr>
          <w:rFonts w:ascii="Arial" w:eastAsia="Arial" w:hAnsi="Arial" w:cs="Arial"/>
        </w:rPr>
        <w:t>je </w:t>
      </w:r>
      <w:r>
        <w:rPr>
          <w:rFonts w:ascii="Arial" w:eastAsia="Arial" w:hAnsi="Arial" w:cs="Arial"/>
        </w:rPr>
        <w:t>programu přidělen kód „TN“.</w:t>
      </w:r>
    </w:p>
    <w:p w14:paraId="3345DBCE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DOBA TRVÁNÍ A TERMÍNY VYHLÁŠENÍ PROGRAMU</w:t>
      </w:r>
    </w:p>
    <w:p w14:paraId="1A0E408F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Doba trvání programu se předpokládá v letech 2018 až 2026, tj. 9 let. </w:t>
      </w:r>
    </w:p>
    <w:p w14:paraId="2FCF75CF" w14:textId="7964AD2D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Veřejná soutěž v aplikovaném výzkumu a experimentálním vývoji a inovacích (dále</w:t>
      </w:r>
      <w:r w:rsidR="000C2609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jen</w:t>
      </w:r>
      <w:r w:rsidR="00FC36E6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„veřejná soutěž“) na výběr projektů do programu byla vyhlášena poprvé v roce 2018 se zahájením poskytování podpory v roce 2018. V první veřejné soutěži jsou podpořeny projekty s trváním do roku 2020, s možností prodloužení o dva roky, tedy do roku 2022. Druhá veřejná soutěž je plánována na začátek roku 2020 s podporou od roku 2021 a bude umožňovat podporu až šestiletých projektů.</w:t>
      </w:r>
    </w:p>
    <w:p w14:paraId="44E74118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 základě vyhodnocení průběhu a výsledků veřejných soutěží a v případě nevyčerpání prostředků alokovaných v programu v rámci 1. a 2. veřejné soutěži poskytovatel zváží vyhlášení další veřejné soutěže.</w:t>
      </w:r>
    </w:p>
    <w:p w14:paraId="76B906B7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Doba trvání projektů nesmí přesáhnout dobu trvání programu.</w:t>
      </w:r>
    </w:p>
    <w:p w14:paraId="334381E2" w14:textId="5F9C8D39" w:rsidR="006A6D6C" w:rsidRDefault="00ED1CC2">
      <w:pPr>
        <w:spacing w:before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Uchazeči a již vzniklá centra NCK z první veřejné soutěže se mohou účastnit dalších veřejných soutěží programu NCK. Poskytovatel zajistí, aby nedocházelo </w:t>
      </w:r>
      <w:proofErr w:type="gramStart"/>
      <w:r>
        <w:rPr>
          <w:rFonts w:ascii="Arial" w:eastAsia="Arial" w:hAnsi="Arial" w:cs="Arial"/>
        </w:rPr>
        <w:t>k</w:t>
      </w:r>
      <w:proofErr w:type="gramEnd"/>
      <w:r>
        <w:rPr>
          <w:rFonts w:ascii="Arial" w:eastAsia="Arial" w:hAnsi="Arial" w:cs="Arial"/>
        </w:rPr>
        <w:t xml:space="preserve"> dvojímu financování aktivit a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výsledků projektů v rámci veřejných soutěží.</w:t>
      </w:r>
    </w:p>
    <w:p w14:paraId="3FDA880E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bookmarkStart w:id="1" w:name="_30j0zll" w:colFirst="0" w:colLast="0"/>
      <w:bookmarkEnd w:id="1"/>
      <w:r w:rsidRPr="00A05D79">
        <w:rPr>
          <w:rFonts w:ascii="Arial" w:eastAsia="Arial" w:hAnsi="Arial" w:cs="Arial"/>
          <w:b/>
        </w:rPr>
        <w:t>ZAMĚŘENÍ PROGRAMU</w:t>
      </w:r>
    </w:p>
    <w:p w14:paraId="3DA24978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Program je zaměřen na podporu dlouhodobé spolupráce mezi výzkumnou a aplikační sférou a posílení institucionální základny aplikovaného výzkumu. </w:t>
      </w:r>
    </w:p>
    <w:p w14:paraId="15E945E8" w14:textId="439037B9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souladu s Národní politikou výzkumu, vývoje a inovací České republiky na léta </w:t>
      </w:r>
      <w:r>
        <w:rPr>
          <w:rFonts w:ascii="Arial" w:eastAsia="Arial" w:hAnsi="Arial" w:cs="Arial"/>
        </w:rPr>
        <w:br/>
      </w:r>
      <w:proofErr w:type="gramStart"/>
      <w:r>
        <w:rPr>
          <w:rFonts w:ascii="Arial" w:eastAsia="Arial" w:hAnsi="Arial" w:cs="Arial"/>
        </w:rPr>
        <w:t>2016 – 2020</w:t>
      </w:r>
      <w:proofErr w:type="gramEnd"/>
      <w:r>
        <w:rPr>
          <w:rFonts w:ascii="Arial" w:eastAsia="Arial" w:hAnsi="Arial" w:cs="Arial"/>
        </w:rPr>
        <w:t xml:space="preserve"> je záměrem výrazně posílit segment výzkumných organizací zaměřených na aplikovaný výzkum a motivovat relevantní stávající výzkumná pracoviště s cílem koncentrace jejich výzkumných a techno</w:t>
      </w:r>
      <w:r w:rsidR="00EB50FB">
        <w:rPr>
          <w:rFonts w:ascii="Arial" w:eastAsia="Arial" w:hAnsi="Arial" w:cs="Arial"/>
        </w:rPr>
        <w:t>logických kapacit do center NCK</w:t>
      </w:r>
      <w:r>
        <w:rPr>
          <w:rFonts w:ascii="Arial" w:eastAsia="Arial" w:hAnsi="Arial" w:cs="Arial"/>
        </w:rPr>
        <w:t xml:space="preserve">, kde bude realizován kvalitní aplikovaný výzkum podle potřeb aplikační sféry. Záměrem je synergicky provázat již existující úspěšná centra, která vznikla za podpory TA ČR (Centra kompetence), GA ČR (Centra excelence) a z operačních programů (zejména tzv. </w:t>
      </w:r>
      <w:proofErr w:type="spellStart"/>
      <w:r>
        <w:rPr>
          <w:rFonts w:ascii="Arial" w:eastAsia="Arial" w:hAnsi="Arial" w:cs="Arial"/>
        </w:rPr>
        <w:t>VaVpI</w:t>
      </w:r>
      <w:proofErr w:type="spellEnd"/>
      <w:r>
        <w:rPr>
          <w:rFonts w:ascii="Arial" w:eastAsia="Arial" w:hAnsi="Arial" w:cs="Arial"/>
        </w:rPr>
        <w:t xml:space="preserve"> Centra) s dalšími výzkumnými centry a jednotkami do jednoho integrovaného systému. Program by zároveň měl být součástí řešení financování aplikovaného výzkumu po roce 2020 po konci současného programového období Evropských investičních a strukturálních fondů a součástí budoucího financování výzkumných infrastruktur.</w:t>
      </w:r>
    </w:p>
    <w:p w14:paraId="312B896F" w14:textId="5A250C2B" w:rsidR="006A6D6C" w:rsidRPr="00EB50FB" w:rsidRDefault="00ED1CC2">
      <w:pPr>
        <w:spacing w:before="120" w:after="12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Tato centra NCK by měla intenzivně spolupracovat s aplikačním sektorem a měla by vytvářet poznatky s vysokým potenciálem pro přímé uplatnění v praxi, dále by měla získávat významnou část svých příjmů ze smluvního výzkumu, ale i z dalších zdrojů. Záměrem je také posílit výzkumné a inovační aktivity podniků, </w:t>
      </w:r>
      <w:r w:rsidR="00D17B0C">
        <w:rPr>
          <w:rFonts w:ascii="Arial" w:eastAsia="Arial" w:hAnsi="Arial" w:cs="Arial"/>
        </w:rPr>
        <w:t xml:space="preserve">a tedy </w:t>
      </w:r>
      <w:r>
        <w:rPr>
          <w:rFonts w:ascii="Arial" w:eastAsia="Arial" w:hAnsi="Arial" w:cs="Arial"/>
        </w:rPr>
        <w:t xml:space="preserve">stimulovat rozvoj aktivit výzkumu a vývoje a zvýšení schopnosti podniků absorbovat výsledky výzkumu realizovaného ve výzkumných organizacích. Dále se předpokládá, že program přispěje </w:t>
      </w:r>
      <w:r w:rsidR="00EB50FB">
        <w:rPr>
          <w:rFonts w:ascii="Arial" w:eastAsia="Arial" w:hAnsi="Arial" w:cs="Arial"/>
        </w:rPr>
        <w:t>především</w:t>
      </w:r>
      <w:r>
        <w:rPr>
          <w:rFonts w:ascii="Arial" w:eastAsia="Arial" w:hAnsi="Arial" w:cs="Arial"/>
        </w:rPr>
        <w:t xml:space="preserve"> k lepší spolupráci </w:t>
      </w:r>
      <w:r>
        <w:rPr>
          <w:rFonts w:ascii="Arial" w:eastAsia="Arial" w:hAnsi="Arial" w:cs="Arial"/>
        </w:rPr>
        <w:lastRenderedPageBreak/>
        <w:t xml:space="preserve">a propojenosti výzkumné a aplikační sféry, ale i k lepší spolupráci </w:t>
      </w:r>
      <w:r w:rsidR="00EB50FB">
        <w:rPr>
          <w:rFonts w:ascii="Arial" w:eastAsia="Arial" w:hAnsi="Arial" w:cs="Arial"/>
        </w:rPr>
        <w:t xml:space="preserve">uvnitř </w:t>
      </w:r>
      <w:r>
        <w:rPr>
          <w:rFonts w:ascii="Arial" w:eastAsia="Arial" w:hAnsi="Arial" w:cs="Arial"/>
        </w:rPr>
        <w:t>těchto jednotlivých sfér.</w:t>
      </w:r>
    </w:p>
    <w:p w14:paraId="6E442AFB" w14:textId="6AF07039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Předpokládá se mimo jiné vznik velkých komplexních aplikačně orientovaných center NCK s mezinárodním přesahem</w:t>
      </w:r>
      <w:r w:rsidR="00FC64FF">
        <w:rPr>
          <w:rFonts w:ascii="Arial" w:eastAsia="Arial" w:hAnsi="Arial" w:cs="Arial"/>
        </w:rPr>
        <w:t xml:space="preserve">, která </w:t>
      </w:r>
      <w:r w:rsidR="00D17B0C">
        <w:rPr>
          <w:rFonts w:ascii="Arial" w:eastAsia="Arial" w:hAnsi="Arial" w:cs="Arial"/>
        </w:rPr>
        <w:t xml:space="preserve">budou mít potenciál ke vzniku přelomových inovací, </w:t>
      </w:r>
      <w:r w:rsidR="00EB50FB">
        <w:rPr>
          <w:rFonts w:ascii="Arial" w:eastAsia="Arial" w:hAnsi="Arial" w:cs="Arial"/>
        </w:rPr>
        <w:t xml:space="preserve">a </w:t>
      </w:r>
      <w:r w:rsidR="00413D1B">
        <w:rPr>
          <w:rFonts w:ascii="Arial" w:eastAsia="Arial" w:hAnsi="Arial" w:cs="Arial"/>
        </w:rPr>
        <w:t xml:space="preserve">budou </w:t>
      </w:r>
      <w:r w:rsidR="00EB50FB">
        <w:rPr>
          <w:rFonts w:ascii="Arial" w:eastAsia="Arial" w:hAnsi="Arial" w:cs="Arial"/>
        </w:rPr>
        <w:t>postaveny</w:t>
      </w:r>
      <w:r>
        <w:rPr>
          <w:rFonts w:ascii="Arial" w:eastAsia="Arial" w:hAnsi="Arial" w:cs="Arial"/>
        </w:rPr>
        <w:t xml:space="preserve"> na excelentních týmech. Tato centra NCK by měla překračovat kritickou velikost pro participaci v rozsáhlejších projektech s dlouhodobým financováním. Záměrem je také propojit dosud málo nebo vůbec nekomunikující odvětví. Dále by centra NCK měla zásadním způsobem zvýšit efektivitu výzkumu zaměřením na nosné perspektivní sektory české ekonomiky s nadprůměrným růstovým potenciálem, které reflektují ekonomickou specializaci ČR </w:t>
      </w:r>
      <w:r w:rsidR="00C32688">
        <w:rPr>
          <w:rFonts w:ascii="Arial" w:eastAsia="Arial" w:hAnsi="Arial" w:cs="Arial"/>
        </w:rPr>
        <w:t xml:space="preserve">a v nichž lze výsledky výzkumu </w:t>
      </w:r>
      <w:r>
        <w:rPr>
          <w:rFonts w:ascii="Arial" w:eastAsia="Arial" w:hAnsi="Arial" w:cs="Arial"/>
        </w:rPr>
        <w:t>a vývoje dále rozvíjet a využívat.</w:t>
      </w:r>
    </w:p>
    <w:p w14:paraId="4831E036" w14:textId="3C6A913B" w:rsidR="006A6D6C" w:rsidRDefault="00ED1CC2">
      <w:pPr>
        <w:keepNext/>
        <w:spacing w:before="120" w:after="120"/>
        <w:jc w:val="both"/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</w:rPr>
        <w:t>Tematické zaměření projektů bude určeno kombinací přístupu top-</w:t>
      </w:r>
      <w:proofErr w:type="spellStart"/>
      <w:r>
        <w:rPr>
          <w:rFonts w:ascii="Arial" w:eastAsia="Arial" w:hAnsi="Arial" w:cs="Arial"/>
        </w:rPr>
        <w:t>down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bottom</w:t>
      </w:r>
      <w:proofErr w:type="spellEnd"/>
      <w:r>
        <w:rPr>
          <w:rFonts w:ascii="Arial" w:eastAsia="Arial" w:hAnsi="Arial" w:cs="Arial"/>
        </w:rPr>
        <w:t xml:space="preserve">-up. Ve vyhlášení veřejné soutěže ve výzkumu, vývoji a inovacích jsou určena témata/aplikační odvětví, v nichž je možné předkládat projekty. Tato témata/aplikační odvětví jsou v souladu </w:t>
      </w:r>
      <w:r>
        <w:rPr>
          <w:rFonts w:ascii="Arial" w:eastAsia="Arial" w:hAnsi="Arial" w:cs="Arial"/>
        </w:rPr>
        <w:br/>
        <w:t xml:space="preserve">s Národní politikou výzkumu, vývoje a inovací České republiky na léta 2016 až 2020, vychází z Národní RIS3 strategie a jsou zvolena </w:t>
      </w:r>
      <w:r w:rsidR="00413D1B">
        <w:rPr>
          <w:rFonts w:ascii="Arial" w:eastAsia="Arial" w:hAnsi="Arial" w:cs="Arial"/>
        </w:rPr>
        <w:t>na základě</w:t>
      </w:r>
      <w:r>
        <w:rPr>
          <w:rFonts w:ascii="Arial" w:eastAsia="Arial" w:hAnsi="Arial" w:cs="Arial"/>
        </w:rPr>
        <w:t xml:space="preserve"> výsledků diskuze v Národních inovačních platformách.</w:t>
      </w:r>
    </w:p>
    <w:p w14:paraId="3C73495D" w14:textId="60F9C16D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Program je zaměřen na podporu projektů, které spadají dle čl. 25 odst. 2 písm. b) a c) Nařízení a čl. 1.3. písm. e) Rámce do kategorie aplikovaného výzkumu (zahrnuje průmyslový výzkum, experimentální vývoj nebo jejich kombinaci), jejichž výsledky mají vysoký potenciál </w:t>
      </w:r>
      <w:r w:rsidRPr="00B62DAA">
        <w:rPr>
          <w:rFonts w:ascii="Arial" w:hAnsi="Arial" w:cs="Arial"/>
        </w:rPr>
        <w:t>pro</w:t>
      </w:r>
      <w:r w:rsidR="00B62DAA" w:rsidRPr="00B62DAA">
        <w:rPr>
          <w:rFonts w:ascii="Arial" w:hAnsi="Arial" w:cs="Arial"/>
        </w:rPr>
        <w:t> </w:t>
      </w:r>
      <w:r w:rsidRPr="00B62DAA">
        <w:rPr>
          <w:rFonts w:ascii="Arial" w:hAnsi="Arial" w:cs="Arial"/>
        </w:rPr>
        <w:t>uplatnění</w:t>
      </w:r>
      <w:r w:rsidRPr="00B62DAA">
        <w:rPr>
          <w:rFonts w:ascii="Arial" w:eastAsia="Arial" w:hAnsi="Arial" w:cs="Arial"/>
        </w:rPr>
        <w:t xml:space="preserve"> v řadě oblastí</w:t>
      </w:r>
      <w:r>
        <w:rPr>
          <w:rFonts w:ascii="Arial" w:eastAsia="Arial" w:hAnsi="Arial" w:cs="Arial"/>
        </w:rPr>
        <w:t xml:space="preserve"> celospolečenského života obyvatel České republiky. </w:t>
      </w:r>
    </w:p>
    <w:p w14:paraId="2DD25525" w14:textId="1CD5C6D1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Program přímo naplňuje NP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>, zejména cíl 3.1 Posílit institucionální základnu aplikovaného výzkumu, opatření 16 Vytvořit podmínky pro vznik center aplikovaného výzkumu.</w:t>
      </w:r>
    </w:p>
    <w:p w14:paraId="7919368B" w14:textId="02AF630A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 zároveň naplňuje Národní RIS3 strategii, konkrétně Strategický cíl C.1 Zvýšit relevanci výzkumu (oba specifické cíle), B.1 Zlepšit kvalitu a problémovou orientaci výzkumu ve znalostních doménách relevantních pro inteligentní specializaci (zejm. specifický cíl B.1.1) a částečně i F.2 Podpořit a lépe využít spolupráci místních aktérů při řešení potřeb v oblasti zaměstnanosti, ekonomického rozvoje a sociální inkluze v krajích ČR. Program také značně přispěje k plnění Inovační strategie České republiky.</w:t>
      </w:r>
    </w:p>
    <w:p w14:paraId="574E64FC" w14:textId="609EC781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 přispěje k tomu, aby veřejné prostředky investované do aplikovaného výzkumu přinášely ekonomický či jiný společenský přínos z jejich realizace. Získané poznatky přispějí k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definování faktorů a procesů, které určují a ovlivňují fungování a rozvoj české společnosti, v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kontextu probíhající evropské integrace a světové globalizace. Při realizaci tento program předpokládá především uplatnění projektů zaměřených na průmyslový výzkum (zahrnující ovšem také nezbytné činnosti orientovaného základního výzkumu) a také podporu projektů s převahou experimentálního vývoje.</w:t>
      </w:r>
    </w:p>
    <w:p w14:paraId="7585065D" w14:textId="48AA2B6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Předpokládá se, přinejmenším v úvodní fázi fungování center, vznik „virtuálních“ center NCK (jako finančně nezávislých, účetně oddělených jednotek) propojujících ty nejlepší týmy, které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má Česká republika v dané oblasti k dispozici. Dále se předpokládá, že Rada programu Národní centra kompetence bude mít pravomoc navrhnout poskytovateli ukončit neúspěšné projekty na základě stanovených podmínek. Rada programu bude složena v souladu s podmínkami zákona o podpoře výzkumu, experimentálního vývoje a inovací, v ideálním případě ze zástupců veřejné správy, výzkumné i aplikační sféry. Část členů Rady bude ze zahraničních pracovišť. Jednotlivá centra NCK pak bude řídit Rada centra, která bude složena na obdobném principu. Rada centra bude určovat koncepční a strategické směřování centra NCK a činit zásadní rozhodnutí týkající se jeho fungování, zejm. dohlížet na plnění </w:t>
      </w:r>
      <w:r>
        <w:rPr>
          <w:rFonts w:ascii="Arial" w:eastAsia="Arial" w:hAnsi="Arial" w:cs="Arial"/>
        </w:rPr>
        <w:lastRenderedPageBreak/>
        <w:t>strategické výzkumné agendy</w:t>
      </w:r>
      <w:r w:rsidR="00FC64FF"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</w:rPr>
        <w:t xml:space="preserve"> spolupráci s aplikační sférou. Předpokládá se, že Rada centra bude každoročně informovat poskytovatele o své činnosti.</w:t>
      </w:r>
    </w:p>
    <w:p w14:paraId="0B52106E" w14:textId="5C998F02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 bude možné využít pro synergické a komplementární efekty v mezinárodních schématech typu H2020</w:t>
      </w:r>
      <w:r>
        <w:rPr>
          <w:rFonts w:ascii="Arial" w:eastAsia="Arial" w:hAnsi="Arial" w:cs="Arial"/>
          <w:vertAlign w:val="superscript"/>
        </w:rPr>
        <w:footnoteReference w:id="1"/>
      </w:r>
      <w:r>
        <w:rPr>
          <w:rFonts w:ascii="Arial" w:eastAsia="Arial" w:hAnsi="Arial" w:cs="Arial"/>
        </w:rPr>
        <w:t xml:space="preserve">, dalších programech EU a </w:t>
      </w:r>
      <w:r w:rsidR="00413D1B">
        <w:rPr>
          <w:rFonts w:ascii="Arial" w:eastAsia="Arial" w:hAnsi="Arial" w:cs="Arial"/>
        </w:rPr>
        <w:t xml:space="preserve">jiných </w:t>
      </w:r>
      <w:r>
        <w:rPr>
          <w:rFonts w:ascii="Arial" w:eastAsia="Arial" w:hAnsi="Arial" w:cs="Arial"/>
        </w:rPr>
        <w:t>mezinárodních programech, kter</w:t>
      </w:r>
      <w:r w:rsidR="00B62DAA">
        <w:rPr>
          <w:rFonts w:ascii="Arial" w:eastAsia="Arial" w:hAnsi="Arial" w:cs="Arial"/>
        </w:rPr>
        <w:t>é </w:t>
      </w:r>
      <w:r>
        <w:rPr>
          <w:rFonts w:ascii="Arial" w:eastAsia="Arial" w:hAnsi="Arial" w:cs="Arial"/>
        </w:rPr>
        <w:t xml:space="preserve">jsou v souladu se zaměřením programu. </w:t>
      </w:r>
    </w:p>
    <w:p w14:paraId="664CFC23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CÍL PROGRAMU</w:t>
      </w:r>
    </w:p>
    <w:p w14:paraId="3271C30D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Cílem programu je zvýšení efektivity a kvality výsledků aplikovaného výzkumu a transferu technologií v klíčových oborech s perspektivou růstu, zvýšení konkurenceschopnosti podniků a posílení excelence a aplikační relevance výzkumných organizací.</w:t>
      </w:r>
    </w:p>
    <w:p w14:paraId="5154989F" w14:textId="73C4F3F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Nástrojem pro dosažení tohoto cíle je vybudování dostatečně stabilní a dlouhodobé základny aplikovaného výzkumu (v podobě národních center kompetence), a to prostřednictvím koncentrace výzkumných kapacit a nastavení silné orientace na aplikaci výsledků jejich výzkumu v praxi. </w:t>
      </w:r>
    </w:p>
    <w:p w14:paraId="356FEFDE" w14:textId="35B5425E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Mezi dílčí cíle programu patří (i) propojení stávajících výzkumných center, (</w:t>
      </w:r>
      <w:proofErr w:type="spellStart"/>
      <w:r>
        <w:rPr>
          <w:rFonts w:ascii="Arial" w:eastAsia="Arial" w:hAnsi="Arial" w:cs="Arial"/>
        </w:rPr>
        <w:t>ii</w:t>
      </w:r>
      <w:proofErr w:type="spellEnd"/>
      <w:r>
        <w:rPr>
          <w:rFonts w:ascii="Arial" w:eastAsia="Arial" w:hAnsi="Arial" w:cs="Arial"/>
        </w:rPr>
        <w:t>) zaměření na perspektivní sektory české ekonomiky dle Národní RIS3 strategie, (</w:t>
      </w:r>
      <w:proofErr w:type="spellStart"/>
      <w:r>
        <w:rPr>
          <w:rFonts w:ascii="Arial" w:eastAsia="Arial" w:hAnsi="Arial" w:cs="Arial"/>
        </w:rPr>
        <w:t>iii</w:t>
      </w:r>
      <w:proofErr w:type="spellEnd"/>
      <w:r>
        <w:rPr>
          <w:rFonts w:ascii="Arial" w:eastAsia="Arial" w:hAnsi="Arial" w:cs="Arial"/>
        </w:rPr>
        <w:t>) zajištění mezioborovosti a podpora dlouhodobé spolupráce, (</w:t>
      </w:r>
      <w:proofErr w:type="spellStart"/>
      <w:r>
        <w:rPr>
          <w:rFonts w:ascii="Arial" w:eastAsia="Arial" w:hAnsi="Arial" w:cs="Arial"/>
        </w:rPr>
        <w:t>iv</w:t>
      </w:r>
      <w:proofErr w:type="spellEnd"/>
      <w:r>
        <w:rPr>
          <w:rFonts w:ascii="Arial" w:eastAsia="Arial" w:hAnsi="Arial" w:cs="Arial"/>
        </w:rPr>
        <w:t>) podpora inovací prostřednictvím transferu technologií, důraz na aplikovatelnost výsledků v praxi a (v) zvýšení počtu inovačních lídrů.</w:t>
      </w:r>
    </w:p>
    <w:p w14:paraId="2251E4E7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ODŮVODNĚNÍ CÍLE PROGRAMU</w:t>
      </w:r>
    </w:p>
    <w:p w14:paraId="3AC72FCF" w14:textId="78C56C69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Program by měl reagovat na změny a identifikované nedostatky zjištěné v rámci hodnocení podpory aplikovaného výzkumu. Jedná se především o nedostatečnou spolupráci a výměnu zkušeností výzkumných organizací s aplikační sférou. Obecněji pak o nedostatečnou konkurenceschopnost podniků i výzkumných organizací v mezinárodním srovnání.</w:t>
      </w:r>
    </w:p>
    <w:p w14:paraId="0681F364" w14:textId="14B0954B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České republice v současné době existuje celkem 34 Center kompetence, 48 </w:t>
      </w:r>
      <w:proofErr w:type="spellStart"/>
      <w:r>
        <w:rPr>
          <w:rFonts w:ascii="Arial" w:eastAsia="Arial" w:hAnsi="Arial" w:cs="Arial"/>
        </w:rPr>
        <w:t>VaVpI</w:t>
      </w:r>
      <w:proofErr w:type="spellEnd"/>
      <w:r>
        <w:rPr>
          <w:rFonts w:ascii="Arial" w:eastAsia="Arial" w:hAnsi="Arial" w:cs="Arial"/>
        </w:rPr>
        <w:t xml:space="preserve"> center a 37 Center excelence GA ČR různých velikostí a různého zaměření</w:t>
      </w:r>
      <w:r>
        <w:rPr>
          <w:rFonts w:ascii="Arial" w:eastAsia="Arial" w:hAnsi="Arial" w:cs="Arial"/>
          <w:vertAlign w:val="superscript"/>
        </w:rPr>
        <w:footnoteReference w:id="2"/>
      </w:r>
      <w:r>
        <w:rPr>
          <w:rFonts w:ascii="Arial" w:eastAsia="Arial" w:hAnsi="Arial" w:cs="Arial"/>
        </w:rPr>
        <w:t>. Dále zde existují velké infrastruktury pro výzkum, experimentální vývoj a inovace, které jsou mnohdy součástí evropských výzkumných infrastruktur schválených ESFRI (</w:t>
      </w:r>
      <w:proofErr w:type="spellStart"/>
      <w:r>
        <w:rPr>
          <w:rFonts w:ascii="Arial" w:eastAsia="Arial" w:hAnsi="Arial" w:cs="Arial"/>
        </w:rPr>
        <w:t>European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Strategy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Forum</w:t>
      </w:r>
      <w:proofErr w:type="spellEnd"/>
      <w:r>
        <w:rPr>
          <w:rFonts w:ascii="Arial" w:eastAsia="Arial" w:hAnsi="Arial" w:cs="Arial"/>
        </w:rPr>
        <w:t xml:space="preserve"> on </w:t>
      </w:r>
      <w:proofErr w:type="spellStart"/>
      <w:r>
        <w:rPr>
          <w:rFonts w:ascii="Arial" w:eastAsia="Arial" w:hAnsi="Arial" w:cs="Arial"/>
        </w:rPr>
        <w:t>Research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Infrastructures</w:t>
      </w:r>
      <w:proofErr w:type="spellEnd"/>
      <w:r>
        <w:rPr>
          <w:rFonts w:ascii="Arial" w:eastAsia="Arial" w:hAnsi="Arial" w:cs="Arial"/>
        </w:rPr>
        <w:t xml:space="preserve">) a uvedené v tzv. ESFRI </w:t>
      </w:r>
      <w:proofErr w:type="spellStart"/>
      <w:r>
        <w:rPr>
          <w:rFonts w:ascii="Arial" w:eastAsia="Arial" w:hAnsi="Arial" w:cs="Arial"/>
        </w:rPr>
        <w:t>Roadmap</w:t>
      </w:r>
      <w:proofErr w:type="spellEnd"/>
      <w:r>
        <w:rPr>
          <w:rFonts w:ascii="Arial" w:eastAsia="Arial" w:hAnsi="Arial" w:cs="Arial"/>
        </w:rPr>
        <w:t>. V současné době je nutné zabývat se aktivitami, které povedou ke koncentraci a integraci výzkumných kapacit.</w:t>
      </w:r>
    </w:p>
    <w:p w14:paraId="4262F8FA" w14:textId="0A0FE000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Důvody vzniku programu jsou obdobně zachyceny v Národní politice výzkumu, vývoje a inovací České republiky na léta </w:t>
      </w:r>
      <w:proofErr w:type="gramStart"/>
      <w:r>
        <w:rPr>
          <w:rFonts w:ascii="Arial" w:eastAsia="Arial" w:hAnsi="Arial" w:cs="Arial"/>
        </w:rPr>
        <w:t>2016 – 2020</w:t>
      </w:r>
      <w:proofErr w:type="gramEnd"/>
      <w:r>
        <w:rPr>
          <w:rFonts w:ascii="Arial" w:eastAsia="Arial" w:hAnsi="Arial" w:cs="Arial"/>
        </w:rPr>
        <w:t>. Podle tohoto dokumentu v oblasti spolupráce soukromého a veřejného sektoru:</w:t>
      </w:r>
    </w:p>
    <w:p w14:paraId="69F66AC1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>není v České republice dostatečně rozvinutá veřejná základna aplikovaného výzkumu;</w:t>
      </w:r>
    </w:p>
    <w:p w14:paraId="2D6A6972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>centra transferu znalostí a interní systémy pro komercializaci ve výzkumných organizacích nejsou dostatečně účinné;</w:t>
      </w:r>
    </w:p>
    <w:p w14:paraId="665C1380" w14:textId="77777777" w:rsidR="006A6D6C" w:rsidRDefault="00ED1CC2" w:rsidP="00FC36E6">
      <w:pPr>
        <w:keepLines/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>chybí motivace výzkumných pracovišť k realizaci výzkumu a vývoje pro potřeby uživatelů;</w:t>
      </w:r>
    </w:p>
    <w:p w14:paraId="75651493" w14:textId="77777777" w:rsidR="006A6D6C" w:rsidRDefault="00ED1CC2" w:rsidP="00FC36E6">
      <w:pPr>
        <w:keepLines/>
        <w:numPr>
          <w:ilvl w:val="0"/>
          <w:numId w:val="5"/>
        </w:numPr>
        <w:spacing w:before="120" w:after="480"/>
        <w:ind w:left="714" w:hanging="357"/>
        <w:jc w:val="both"/>
      </w:pPr>
      <w:r>
        <w:rPr>
          <w:rFonts w:ascii="Arial" w:eastAsia="Arial" w:hAnsi="Arial" w:cs="Arial"/>
        </w:rPr>
        <w:lastRenderedPageBreak/>
        <w:t>nejsou navazovány dlouhodobé strategické spolupráce výzkumných organizací a podniků.</w:t>
      </w:r>
    </w:p>
    <w:p w14:paraId="41D34E01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 xml:space="preserve">KRITÉRIA SPLNĚNÍ CÍLŮ PROGRAMU </w:t>
      </w:r>
    </w:p>
    <w:p w14:paraId="626446EA" w14:textId="76718512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Dosažení cílů programu bude vyhodnocováno v souladu s Metodikou hodnocení výsledků výzkumných organizací a hodnocení programů účelové podpory</w:t>
      </w:r>
      <w:r w:rsidR="005D67FE">
        <w:rPr>
          <w:rFonts w:ascii="Arial" w:eastAsia="Arial" w:hAnsi="Arial" w:cs="Arial"/>
        </w:rPr>
        <w:t>, která bude platná</w:t>
      </w:r>
      <w:r>
        <w:rPr>
          <w:rFonts w:ascii="Arial" w:eastAsia="Arial" w:hAnsi="Arial" w:cs="Arial"/>
        </w:rPr>
        <w:t xml:space="preserve"> v době hodnocení programu a dle dalších podmínek stanovených po</w:t>
      </w:r>
      <w:r w:rsidR="00FC64FF">
        <w:rPr>
          <w:rFonts w:ascii="Arial" w:eastAsia="Arial" w:hAnsi="Arial" w:cs="Arial"/>
        </w:rPr>
        <w:t xml:space="preserve">skytovatelem v rámci průběžného </w:t>
      </w:r>
      <w:r>
        <w:rPr>
          <w:rFonts w:ascii="Arial" w:eastAsia="Arial" w:hAnsi="Arial" w:cs="Arial"/>
        </w:rPr>
        <w:t>a závěrečného hodnocení programu. Dosažení cílů programu bude vyhodnocováno také na základě souboru indikátorů, výstupů, výsledků a dopadů určených pro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monitorování průběhu plnění programu a hodnocení jeho celkové výkonnosti a úspěšnosti. </w:t>
      </w:r>
    </w:p>
    <w:p w14:paraId="3C0174F2" w14:textId="3CD46D1C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Objem prostředků veřejných zdrojů každého centra NCK bude vázán na objem prostředků, </w:t>
      </w:r>
      <w:r w:rsidR="005D67FE">
        <w:rPr>
          <w:rFonts w:ascii="Arial" w:eastAsia="Arial" w:hAnsi="Arial" w:cs="Arial"/>
        </w:rPr>
        <w:t>které</w:t>
      </w:r>
      <w:r w:rsidR="00B91BCD">
        <w:rPr>
          <w:rFonts w:ascii="Arial" w:eastAsia="Arial" w:hAnsi="Arial" w:cs="Arial"/>
        </w:rPr>
        <w:t xml:space="preserve"> centrum</w:t>
      </w:r>
      <w:r>
        <w:rPr>
          <w:rFonts w:ascii="Arial" w:eastAsia="Arial" w:hAnsi="Arial" w:cs="Arial"/>
        </w:rPr>
        <w:t> získá z neveřejných prostředků formou smluvního výzkumu, licencí (uznány však budou licenční příjmy vázané na výsledky projektu, a to do maximální výše 20 procent objemu získaných neveřejných zdrojů)</w:t>
      </w:r>
      <w:r w:rsidR="00B91BCD"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</w:rPr>
        <w:t xml:space="preserve"> případně dalšími formami komerčních příjmů. Předpokládá se, že centra NCK budou dále participovat v projektech </w:t>
      </w:r>
      <w:proofErr w:type="spellStart"/>
      <w:r>
        <w:rPr>
          <w:rFonts w:ascii="Arial" w:eastAsia="Arial" w:hAnsi="Arial" w:cs="Arial"/>
        </w:rPr>
        <w:t>kolaborativního</w:t>
      </w:r>
      <w:proofErr w:type="spellEnd"/>
      <w:r>
        <w:rPr>
          <w:rFonts w:ascii="Arial" w:eastAsia="Arial" w:hAnsi="Arial" w:cs="Arial"/>
        </w:rPr>
        <w:t xml:space="preserve"> výzkumu financovaných z programů Technologické agentury ČR i dalších poskytovatelů podpory dle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zákona 130/2002 Sb. a také mezinárodních programů (např. Horizont 2020</w:t>
      </w:r>
      <w:r>
        <w:rPr>
          <w:rFonts w:ascii="Arial" w:eastAsia="Arial" w:hAnsi="Arial" w:cs="Arial"/>
          <w:vertAlign w:val="superscript"/>
        </w:rPr>
        <w:footnoteReference w:id="3"/>
      </w:r>
      <w:r>
        <w:rPr>
          <w:rFonts w:ascii="Arial" w:eastAsia="Arial" w:hAnsi="Arial" w:cs="Arial"/>
        </w:rPr>
        <w:t>). Centra NCK by tak měla být financována zejména ze tří hlavních zdrojů</w:t>
      </w:r>
      <w:r w:rsidR="00FC64FF">
        <w:rPr>
          <w:rFonts w:ascii="Arial" w:eastAsia="Arial" w:hAnsi="Arial" w:cs="Arial"/>
        </w:rPr>
        <w:t>,</w:t>
      </w:r>
      <w:r w:rsidR="00B91BCD">
        <w:rPr>
          <w:rFonts w:ascii="Arial" w:eastAsia="Arial" w:hAnsi="Arial" w:cs="Arial"/>
        </w:rPr>
        <w:t xml:space="preserve"> a to z </w:t>
      </w:r>
      <w:r>
        <w:rPr>
          <w:rFonts w:ascii="Arial" w:eastAsia="Arial" w:hAnsi="Arial" w:cs="Arial"/>
        </w:rPr>
        <w:t>(i) programu Národní</w:t>
      </w:r>
      <w:r w:rsidR="00FC64FF">
        <w:rPr>
          <w:rFonts w:ascii="Arial" w:eastAsia="Arial" w:hAnsi="Arial" w:cs="Arial"/>
        </w:rPr>
        <w:t xml:space="preserve"> centra kompetence,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ii</w:t>
      </w:r>
      <w:proofErr w:type="spellEnd"/>
      <w:r>
        <w:rPr>
          <w:rFonts w:ascii="Arial" w:eastAsia="Arial" w:hAnsi="Arial" w:cs="Arial"/>
        </w:rPr>
        <w:t>) dotací na </w:t>
      </w:r>
      <w:proofErr w:type="spellStart"/>
      <w:r>
        <w:rPr>
          <w:rFonts w:ascii="Arial" w:eastAsia="Arial" w:hAnsi="Arial" w:cs="Arial"/>
        </w:rPr>
        <w:t>kolaborativní</w:t>
      </w:r>
      <w:proofErr w:type="spellEnd"/>
      <w:r>
        <w:rPr>
          <w:rFonts w:ascii="Arial" w:eastAsia="Arial" w:hAnsi="Arial" w:cs="Arial"/>
        </w:rPr>
        <w:t xml:space="preserve"> výzkum a (</w:t>
      </w:r>
      <w:proofErr w:type="spellStart"/>
      <w:r>
        <w:rPr>
          <w:rFonts w:ascii="Arial" w:eastAsia="Arial" w:hAnsi="Arial" w:cs="Arial"/>
        </w:rPr>
        <w:t>iii</w:t>
      </w:r>
      <w:proofErr w:type="spellEnd"/>
      <w:r>
        <w:rPr>
          <w:rFonts w:ascii="Arial" w:eastAsia="Arial" w:hAnsi="Arial" w:cs="Arial"/>
        </w:rPr>
        <w:t>) smluvního výzkumu a jiných komerčních příjmů.</w:t>
      </w:r>
    </w:p>
    <w:p w14:paraId="1EF03E02" w14:textId="7CA60415" w:rsidR="006A6D6C" w:rsidRDefault="00ED1CC2">
      <w:pPr>
        <w:keepLines/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Poskytovatel bude každoročně vyhodnocovat plnění stanovených kritérií prostřednictvím průběžných zpráv. Klíčovým a rozhodujícím kritériem </w:t>
      </w:r>
      <w:r w:rsidR="005455E5">
        <w:rPr>
          <w:rFonts w:ascii="Arial" w:eastAsia="Arial" w:hAnsi="Arial" w:cs="Arial"/>
        </w:rPr>
        <w:t xml:space="preserve">je </w:t>
      </w:r>
      <w:r>
        <w:rPr>
          <w:rFonts w:ascii="Arial" w:eastAsia="Arial" w:hAnsi="Arial" w:cs="Arial"/>
        </w:rPr>
        <w:t xml:space="preserve">objem financování center NCK z neveřejných prostředků. Poskytovatel </w:t>
      </w:r>
      <w:r w:rsidR="005455E5">
        <w:rPr>
          <w:rFonts w:ascii="Arial" w:eastAsia="Arial" w:hAnsi="Arial" w:cs="Arial"/>
        </w:rPr>
        <w:t xml:space="preserve">je </w:t>
      </w:r>
      <w:r>
        <w:rPr>
          <w:rFonts w:ascii="Arial" w:eastAsia="Arial" w:hAnsi="Arial" w:cs="Arial"/>
        </w:rPr>
        <w:t xml:space="preserve">oprávněn na základě tohoto vyhodnocení upravit rozpočet daného centra na následující rok. Dále se předpokládá, že bude posuzováno naplňování kritérií sloužících k hodnocení projektu, které jsou uvedeny v kap. 16. </w:t>
      </w:r>
    </w:p>
    <w:p w14:paraId="0187A141" w14:textId="77777777" w:rsidR="006A6D6C" w:rsidRDefault="00ED1CC2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Tabulka č. 9. 1: Indikátory programu</w:t>
      </w:r>
    </w:p>
    <w:tbl>
      <w:tblPr>
        <w:tblStyle w:val="2"/>
        <w:tblW w:w="91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28"/>
        <w:gridCol w:w="1559"/>
      </w:tblGrid>
      <w:tr w:rsidR="006A6D6C" w14:paraId="72249F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28" w:type="dxa"/>
          </w:tcPr>
          <w:p w14:paraId="4B41FBE0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Indikátor</w:t>
            </w:r>
          </w:p>
        </w:tc>
        <w:tc>
          <w:tcPr>
            <w:tcW w:w="1559" w:type="dxa"/>
          </w:tcPr>
          <w:p w14:paraId="3D68A23C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Hodnota</w:t>
            </w:r>
          </w:p>
        </w:tc>
      </w:tr>
      <w:tr w:rsidR="006A6D6C" w14:paraId="20FF29FB" w14:textId="77777777" w:rsidTr="006A6D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tcW w:w="7628" w:type="dxa"/>
          </w:tcPr>
          <w:p w14:paraId="01FF4B93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 Průměrná intenzita podpory za program</w:t>
            </w:r>
          </w:p>
        </w:tc>
        <w:tc>
          <w:tcPr>
            <w:tcW w:w="1559" w:type="dxa"/>
          </w:tcPr>
          <w:p w14:paraId="3A0305B8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80 %</w:t>
            </w:r>
          </w:p>
        </w:tc>
      </w:tr>
      <w:tr w:rsidR="006A6D6C" w14:paraId="49A1BF33" w14:textId="77777777" w:rsidTr="006A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628" w:type="dxa"/>
          </w:tcPr>
          <w:p w14:paraId="77FA4D42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1fob9te" w:colFirst="0" w:colLast="0"/>
            <w:bookmarkEnd w:id="2"/>
            <w:r>
              <w:rPr>
                <w:rFonts w:ascii="Arial" w:eastAsia="Arial" w:hAnsi="Arial" w:cs="Arial"/>
              </w:rPr>
              <w:t>2. Minimální počet podpořených projektů</w:t>
            </w:r>
          </w:p>
        </w:tc>
        <w:tc>
          <w:tcPr>
            <w:tcW w:w="1559" w:type="dxa"/>
          </w:tcPr>
          <w:p w14:paraId="5872DD54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6A6D6C" w14:paraId="2A666232" w14:textId="77777777" w:rsidTr="006A6D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tcW w:w="7628" w:type="dxa"/>
          </w:tcPr>
          <w:p w14:paraId="5D30DFA4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Minimální objem smluvního výzkumu realizovaného v centrech a dalších příjmů souhrnně v době trvání programu</w:t>
            </w:r>
          </w:p>
        </w:tc>
        <w:tc>
          <w:tcPr>
            <w:tcW w:w="1559" w:type="dxa"/>
          </w:tcPr>
          <w:p w14:paraId="370087CC" w14:textId="77777777" w:rsidR="006A6D6C" w:rsidRDefault="00ED1CC2">
            <w:pP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1436,8 mil. Kč</w:t>
            </w:r>
          </w:p>
        </w:tc>
      </w:tr>
      <w:tr w:rsidR="006A6D6C" w14:paraId="13D19E2F" w14:textId="77777777" w:rsidTr="006A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628" w:type="dxa"/>
          </w:tcPr>
          <w:p w14:paraId="34D1DDC6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4. Minimální počet uchazečů zapojených do činnosti každého centra </w:t>
            </w:r>
          </w:p>
        </w:tc>
        <w:tc>
          <w:tcPr>
            <w:tcW w:w="1559" w:type="dxa"/>
          </w:tcPr>
          <w:p w14:paraId="7235C4F3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A6D6C" w14:paraId="418B953B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28" w:type="dxa"/>
          </w:tcPr>
          <w:p w14:paraId="6BAE26F2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 Minimální počet dosažených výstupů</w:t>
            </w:r>
          </w:p>
        </w:tc>
        <w:tc>
          <w:tcPr>
            <w:tcW w:w="1559" w:type="dxa"/>
          </w:tcPr>
          <w:p w14:paraId="131902C2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400</w:t>
            </w:r>
          </w:p>
        </w:tc>
      </w:tr>
      <w:tr w:rsidR="006A6D6C" w14:paraId="28A254F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28" w:type="dxa"/>
          </w:tcPr>
          <w:p w14:paraId="22E8E096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 Minimální počet aplikovaných výstupů</w:t>
            </w:r>
          </w:p>
        </w:tc>
        <w:tc>
          <w:tcPr>
            <w:tcW w:w="1559" w:type="dxa"/>
          </w:tcPr>
          <w:p w14:paraId="5AFCA066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320</w:t>
            </w:r>
          </w:p>
        </w:tc>
      </w:tr>
    </w:tbl>
    <w:p w14:paraId="76A1DDB1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spacing w:before="240"/>
        <w:ind w:left="714" w:hanging="357"/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lastRenderedPageBreak/>
        <w:t>OČEKÁVANÉ VÝSLEDKY A PŘÍNOSY PROGRAMU</w:t>
      </w:r>
    </w:p>
    <w:p w14:paraId="3AC2D353" w14:textId="2D2C48DC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tomto programu budou podporovány zejména projekty, u kterých se odůvodněně předpokládá dosažení využitelných výstupů, taktéž publikačních, jejichž aplikace přispěje k plnění stanovených cílů programu a k pozitivním společenským (</w:t>
      </w:r>
      <w:proofErr w:type="spellStart"/>
      <w:r>
        <w:rPr>
          <w:rFonts w:ascii="Arial" w:eastAsia="Arial" w:hAnsi="Arial" w:cs="Arial"/>
        </w:rPr>
        <w:t>socio</w:t>
      </w:r>
      <w:proofErr w:type="spellEnd"/>
      <w:r>
        <w:rPr>
          <w:rFonts w:ascii="Arial" w:eastAsia="Arial" w:hAnsi="Arial" w:cs="Arial"/>
        </w:rPr>
        <w:t xml:space="preserve">-ekonomickým) dopadům. Program umožní dosažení následujících výstupů ve formě výsledků dle Metodiky hodnocení výzkumných organizací a hodnocení programů účelové podpory a Rejstříku informací o výsledcích (RIV) platných v době jejich uplatňování: </w:t>
      </w:r>
    </w:p>
    <w:p w14:paraId="5F31F316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 – patent;</w:t>
      </w:r>
    </w:p>
    <w:p w14:paraId="1A478E54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G - prototyp</w:t>
      </w:r>
      <w:proofErr w:type="gramEnd"/>
      <w:r>
        <w:rPr>
          <w:rFonts w:ascii="Arial" w:eastAsia="Arial" w:hAnsi="Arial" w:cs="Arial"/>
        </w:rPr>
        <w:t>, funkční vzorek;</w:t>
      </w:r>
    </w:p>
    <w:p w14:paraId="462BDF3E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– poloprovoz, ověřená technologie;</w:t>
      </w:r>
    </w:p>
    <w:p w14:paraId="1C20263E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 – software;</w:t>
      </w:r>
    </w:p>
    <w:p w14:paraId="1867CE66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 – průmyslový a užitný vzor;</w:t>
      </w:r>
    </w:p>
    <w:p w14:paraId="6165E988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 – výsledky promítnuté do právních předpisů a norem a výsledky promítnuté do směrnic a předpisů nelegislativní povahy závazných v rámci kompetence příslušného poskytovatele;</w:t>
      </w:r>
    </w:p>
    <w:p w14:paraId="1DBCF561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 – metodiky, postupy a specializované mapy s odborným obsahem;</w:t>
      </w:r>
    </w:p>
    <w:p w14:paraId="751E3E16" w14:textId="77777777" w:rsidR="006A6D6C" w:rsidRDefault="00ED1CC2">
      <w:pPr>
        <w:spacing w:before="120" w:after="12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>O – ostatní.</w:t>
      </w:r>
    </w:p>
    <w:p w14:paraId="2440C682" w14:textId="6EBCC492" w:rsidR="006A6D6C" w:rsidRDefault="00ED1CC2">
      <w:pPr>
        <w:spacing w:before="24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Vzhledem ke specifickému zaměření programu však dále existuje celá řada poznatků </w:t>
      </w:r>
      <w:r>
        <w:rPr>
          <w:rFonts w:ascii="Arial" w:eastAsia="Arial" w:hAnsi="Arial" w:cs="Arial"/>
        </w:rPr>
        <w:br/>
        <w:t xml:space="preserve">a dovedností v souladu s §2 odst. 2, písmeno i) zákona o podpoře výzkumu, vývoje </w:t>
      </w:r>
      <w:r>
        <w:rPr>
          <w:rFonts w:ascii="Arial" w:eastAsia="Arial" w:hAnsi="Arial" w:cs="Arial"/>
        </w:rPr>
        <w:br/>
        <w:t>a inovací, které se očekávají jako výsledky veřejných soutěží. Z tohoto důvodu bude program hodnocen nejen na základě výstupů ve formě výsledků dle aktuálně platné Metodiky hodnocení výzkumných organizací a hodnocení programů účelové podpory, ale také podle dosažených poznatků a dovedností, které budou specifikovány v rámci přípravy projektu tohoto typu výzkumu.</w:t>
      </w:r>
    </w:p>
    <w:p w14:paraId="640C2E15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 výstupy ve formě výsledků dle Metodiky a RIV druhu „O” platí, že musí splňovat podmínku aplikovatelnosti v praxi a následně bude jejich aplikace v praxi sledována v rámci monitoringu implementačních plánů. Posouzení plánovaných výstupů, resp. výsledků</w:t>
      </w:r>
      <w:r w:rsidR="00C92BC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je součástí hodnocení návrhů projektů.</w:t>
      </w:r>
    </w:p>
    <w:p w14:paraId="4250D90F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Mezi očekávané přínosy programu patří hlavně zvýšení kvality a počtu výsledků výzkumu a vývoje, které budou aplikovány v praxi v podobě inovací výrobků, postupů, procesů nebo služeb. </w:t>
      </w:r>
    </w:p>
    <w:p w14:paraId="32A3F0D6" w14:textId="45C7C7E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Dalším předpokládaným přínosem programu je</w:t>
      </w:r>
      <w:r w:rsidR="00C92BC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na straně výzkumných organizací získání zkušenosti a schopnosti orientovat výzkum (respektive strategickou výzkumnou agendu) směrem k potřebám aplikační sféry. Na druhé straně by program měl přispět ke zvýšené schopnosti podniků pracovat s výsledky výzkumu financovaného z veřejných prostředků (realizovaného výzkumnými organizacemi). Tyto dva efekty by pak v konečném výsledku měly přispět ke zvýšené nezávislosti budovaných center NCK na</w:t>
      </w:r>
      <w:r w:rsidR="00592CA8">
        <w:rPr>
          <w:rFonts w:ascii="Arial" w:eastAsia="Arial" w:hAnsi="Arial" w:cs="Arial"/>
        </w:rPr>
        <w:t xml:space="preserve"> veřejných</w:t>
      </w:r>
      <w:r>
        <w:rPr>
          <w:rFonts w:ascii="Arial" w:eastAsia="Arial" w:hAnsi="Arial" w:cs="Arial"/>
        </w:rPr>
        <w:t xml:space="preserve"> prostředcích</w:t>
      </w:r>
      <w:r w:rsidR="00592CA8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Součástí výstupů projektu tak musí být i plán dlouhodobé finanční udržitelnosti centra NCK.</w:t>
      </w:r>
    </w:p>
    <w:p w14:paraId="565B1A28" w14:textId="1F8E5A14" w:rsidR="006A6D6C" w:rsidRDefault="00ED1CC2">
      <w:pPr>
        <w:spacing w:before="24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 spolupracujících výzkumných organizací se přínosy programu projeví například ve zvýšení počtu jejich výsledků aplikovaných v praxi, v počtu komercializovaných patentů a nárůstu jejich komerčního potenciálu. </w:t>
      </w:r>
      <w:r w:rsidR="00592CA8">
        <w:rPr>
          <w:rFonts w:ascii="Arial" w:eastAsia="Arial" w:hAnsi="Arial" w:cs="Arial"/>
        </w:rPr>
        <w:t xml:space="preserve">Za </w:t>
      </w:r>
      <w:r>
        <w:rPr>
          <w:rFonts w:ascii="Arial" w:eastAsia="Arial" w:hAnsi="Arial" w:cs="Arial"/>
        </w:rPr>
        <w:t>sekundární efekt lze považovat posí</w:t>
      </w:r>
      <w:r w:rsidR="00B62DAA">
        <w:rPr>
          <w:rFonts w:ascii="Arial" w:eastAsia="Arial" w:hAnsi="Arial" w:cs="Arial"/>
        </w:rPr>
        <w:t xml:space="preserve">lení efektivního transferu </w:t>
      </w:r>
      <w:r w:rsidR="00B62DAA">
        <w:rPr>
          <w:rFonts w:ascii="Arial" w:eastAsia="Arial" w:hAnsi="Arial" w:cs="Arial"/>
        </w:rPr>
        <w:br/>
        <w:t>know-how </w:t>
      </w:r>
      <w:r>
        <w:rPr>
          <w:rFonts w:ascii="Arial" w:eastAsia="Arial" w:hAnsi="Arial" w:cs="Arial"/>
        </w:rPr>
        <w:t>a technologií do praxe.</w:t>
      </w:r>
    </w:p>
    <w:p w14:paraId="00075743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lastRenderedPageBreak/>
        <w:t>UCHAZEČI A PROKÁZÁNÍ JEJICH ZPŮSOBILOSTI</w:t>
      </w:r>
    </w:p>
    <w:p w14:paraId="34AB59F1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Uchazečem, respektive příjemcem podpory na projekt podle zákona o podpoře výzkumu, experimentálního vývoje a inovací, Rámce a Nařízení mohou být:</w:t>
      </w:r>
    </w:p>
    <w:p w14:paraId="2CA639A9" w14:textId="195D1105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Organizace pro výzkum a šíření znalostí (dále jen „výzkumné organizace“)</w:t>
      </w:r>
      <w:r>
        <w:rPr>
          <w:rFonts w:ascii="Arial" w:eastAsia="Arial" w:hAnsi="Arial" w:cs="Arial"/>
        </w:rPr>
        <w:t xml:space="preserve"> – právnické osoby, které splňují definici výzkumné organizace podle čl. 2 odst. 83 Nařízení</w:t>
      </w:r>
      <w:r w:rsidR="002F7CC4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 dle zákona o podpoře výzkumu, experimentálního vývoje a inovací, a které řeší projekt samostatně nebo ve </w:t>
      </w:r>
      <w:r w:rsidR="00C32688">
        <w:rPr>
          <w:rFonts w:ascii="Arial" w:eastAsia="Arial" w:hAnsi="Arial" w:cs="Arial"/>
        </w:rPr>
        <w:t xml:space="preserve">spolupráci s dalšími účastníky. </w:t>
      </w:r>
      <w:r>
        <w:rPr>
          <w:rFonts w:ascii="Arial" w:eastAsia="Arial" w:hAnsi="Arial" w:cs="Arial"/>
        </w:rPr>
        <w:t xml:space="preserve">Pokud výzkumné organizace vykonávají kromě </w:t>
      </w:r>
      <w:proofErr w:type="spellStart"/>
      <w:r>
        <w:rPr>
          <w:rFonts w:ascii="Arial" w:eastAsia="Arial" w:hAnsi="Arial" w:cs="Arial"/>
        </w:rPr>
        <w:t>nehospodářských</w:t>
      </w:r>
      <w:proofErr w:type="spellEnd"/>
      <w:r>
        <w:rPr>
          <w:rFonts w:ascii="Arial" w:eastAsia="Arial" w:hAnsi="Arial" w:cs="Arial"/>
        </w:rPr>
        <w:t xml:space="preserve"> činností i hospodářské činnosti,</w:t>
      </w:r>
      <w:r w:rsidR="002F7CC4">
        <w:rPr>
          <w:rFonts w:ascii="Arial" w:eastAsia="Arial" w:hAnsi="Arial" w:cs="Arial"/>
        </w:rPr>
        <w:t xml:space="preserve"> mají povinnost vést oddělené účetnictví</w:t>
      </w:r>
      <w:r>
        <w:rPr>
          <w:rFonts w:ascii="Arial" w:eastAsia="Arial" w:hAnsi="Arial" w:cs="Arial"/>
        </w:rPr>
        <w:t xml:space="preserve"> pro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náklady a příjmy z těchto hospodářských činností</w:t>
      </w:r>
      <w:r w:rsidR="002F7CC4">
        <w:rPr>
          <w:rFonts w:ascii="Arial" w:eastAsia="Arial" w:hAnsi="Arial" w:cs="Arial"/>
        </w:rPr>
        <w:t>.</w:t>
      </w:r>
    </w:p>
    <w:p w14:paraId="7FFED7F7" w14:textId="2262A158" w:rsidR="006A6D6C" w:rsidRDefault="00ED1CC2">
      <w:pPr>
        <w:spacing w:before="120" w:after="12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</w:rPr>
        <w:t xml:space="preserve">Další právnické osoby </w:t>
      </w:r>
      <w:r>
        <w:rPr>
          <w:rFonts w:ascii="Arial" w:eastAsia="Arial" w:hAnsi="Arial" w:cs="Arial"/>
        </w:rPr>
        <w:t>veřejného i soukromého práva bez ohledu na právní formu či způsob financování, které budou vykonávat neekonomické (</w:t>
      </w:r>
      <w:proofErr w:type="spellStart"/>
      <w:r>
        <w:rPr>
          <w:rFonts w:ascii="Arial" w:eastAsia="Arial" w:hAnsi="Arial" w:cs="Arial"/>
        </w:rPr>
        <w:t>nehospodářské</w:t>
      </w:r>
      <w:proofErr w:type="spellEnd"/>
      <w:r>
        <w:rPr>
          <w:rFonts w:ascii="Arial" w:eastAsia="Arial" w:hAnsi="Arial" w:cs="Arial"/>
        </w:rPr>
        <w:t>) činnosti, tj. nebude se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jednat o podniky ve smyslu pravidel veřejné podpory.</w:t>
      </w:r>
    </w:p>
    <w:p w14:paraId="750FCF09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Podniky</w:t>
      </w:r>
      <w:r>
        <w:rPr>
          <w:rFonts w:ascii="Arial" w:eastAsia="Arial" w:hAnsi="Arial" w:cs="Arial"/>
        </w:rPr>
        <w:t xml:space="preserve"> – právnické i fyzické osoby vykonávající hospodářskou činnost, bez ohledu na právní formu (příloha 1 Nařízení), které řeší projekt samostatně nebo ve spolupráci s dalšími účastníky a prokáží schopnost projekt spolufinancovat z neveřejných prostředků.</w:t>
      </w:r>
    </w:p>
    <w:p w14:paraId="7A867AEF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Podporu na projekt realizovaný v Programu mohou získat pouze ti uchazeči, kteří splňují podmínky způsobilosti dané § 18 Zákona č. 130/2002 Sb. Uchází-li se o řešení jednoho projektu společně více uchazečů, vztahuje se povinnost prokázat svoji způsobilost na všechny tyto uchazeče. Způsobilost prokazuje uchazeč doklady dle zákona o podpoře výzkumu, experimentálního vývoje a inovací způsobem stanoveným poskytovatelem v zadávací dokumentaci.</w:t>
      </w:r>
    </w:p>
    <w:p w14:paraId="14272DF8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Okruh uchazečů může oproti programu zúžit zadávací dokumentace k veřejné soutěži vypuštěním druhé skupiny uchazečů.</w:t>
      </w:r>
    </w:p>
    <w:p w14:paraId="3E1B4269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 programu bude podporován vznik a činnost center výzkumu, vývoje a inovací za spolupráce výzkumných organizací a podniků. Bližší specifikace formy a podmínek zapojení a spolupráce jednotlivých subjektů bude upřesněna v zadávací dokumentaci k veřejné soutěži.</w:t>
      </w:r>
    </w:p>
    <w:p w14:paraId="36CF7C47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VÝDAJE NA PROGRAM</w:t>
      </w:r>
    </w:p>
    <w:p w14:paraId="50DF8A3B" w14:textId="3A9053B3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Celkové výdaje na program jsou na období trvání programu stanoveny v souladu se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zkušenostmi s realizací programu Centra kompetence, s předpokládaným postupným vyhlašováním jednotlivých veřejných soutěží ve výzkumu, vývoji a inovacích a postupem přípravy, vzniku a činnosti jednotlivých center NCK. </w:t>
      </w:r>
    </w:p>
    <w:p w14:paraId="2AC6DC7E" w14:textId="3733101E" w:rsidR="006A6D6C" w:rsidRDefault="00ED1CC2" w:rsidP="00523839">
      <w:pPr>
        <w:spacing w:before="120" w:after="21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Celkové výdaje na jednotlivé projekty a podniky jsou </w:t>
      </w:r>
      <w:r w:rsidR="002F7CC4">
        <w:rPr>
          <w:rFonts w:ascii="Arial" w:eastAsia="Arial" w:hAnsi="Arial" w:cs="Arial"/>
        </w:rPr>
        <w:t xml:space="preserve">navrženy </w:t>
      </w:r>
      <w:proofErr w:type="gramStart"/>
      <w:r>
        <w:rPr>
          <w:rFonts w:ascii="Arial" w:eastAsia="Arial" w:hAnsi="Arial" w:cs="Arial"/>
        </w:rPr>
        <w:t>dle  čl.</w:t>
      </w:r>
      <w:proofErr w:type="gramEnd"/>
      <w:r>
        <w:rPr>
          <w:rFonts w:ascii="Arial" w:eastAsia="Arial" w:hAnsi="Arial" w:cs="Arial"/>
        </w:rPr>
        <w:t xml:space="preserve"> 4 Nařízení Komise (EU) č. 651/2014 ze dne 17. června 2014, kterým se v souladu s články 107 a 108 Smlouvy prohlašují určité kategorie podpory za slučitelné s vnitřním trhem, tzv. obecného nařízení o blokových výjimkách.</w:t>
      </w:r>
    </w:p>
    <w:p w14:paraId="4B330D58" w14:textId="77777777" w:rsidR="00D966C5" w:rsidRDefault="00D966C5" w:rsidP="00D966C5">
      <w:pPr>
        <w:spacing w:before="720" w:after="120"/>
        <w:jc w:val="both"/>
        <w:rPr>
          <w:rFonts w:ascii="Arial" w:eastAsia="Arial" w:hAnsi="Arial" w:cs="Arial"/>
          <w:b/>
        </w:rPr>
      </w:pPr>
    </w:p>
    <w:p w14:paraId="2A058632" w14:textId="184C8911" w:rsidR="006A6D6C" w:rsidRDefault="00ED1CC2" w:rsidP="00D966C5">
      <w:pPr>
        <w:spacing w:before="720" w:after="120"/>
        <w:jc w:val="both"/>
        <w:rPr>
          <w:rFonts w:ascii="Arial" w:eastAsia="Arial" w:hAnsi="Arial" w:cs="Arial"/>
          <w:b/>
        </w:rPr>
      </w:pPr>
      <w:bookmarkStart w:id="3" w:name="_GoBack"/>
      <w:bookmarkEnd w:id="3"/>
      <w:r>
        <w:rPr>
          <w:rFonts w:ascii="Arial" w:eastAsia="Arial" w:hAnsi="Arial" w:cs="Arial"/>
          <w:b/>
        </w:rPr>
        <w:lastRenderedPageBreak/>
        <w:t>Tabulka č. 12.1: Rozpočet programu (v mil. Kč)</w:t>
      </w:r>
    </w:p>
    <w:tbl>
      <w:tblPr>
        <w:tblStyle w:val="1"/>
        <w:tblW w:w="102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0"/>
        <w:gridCol w:w="828"/>
        <w:gridCol w:w="828"/>
        <w:gridCol w:w="828"/>
        <w:gridCol w:w="939"/>
        <w:gridCol w:w="939"/>
        <w:gridCol w:w="939"/>
        <w:gridCol w:w="939"/>
        <w:gridCol w:w="939"/>
        <w:gridCol w:w="939"/>
        <w:gridCol w:w="939"/>
      </w:tblGrid>
      <w:tr w:rsidR="006A6D6C" w14:paraId="277E3023" w14:textId="77777777">
        <w:tc>
          <w:tcPr>
            <w:tcW w:w="1171" w:type="dxa"/>
          </w:tcPr>
          <w:p w14:paraId="30F9FD63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828" w:type="dxa"/>
          </w:tcPr>
          <w:p w14:paraId="017A94E9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828" w:type="dxa"/>
          </w:tcPr>
          <w:p w14:paraId="56AF6F3B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828" w:type="dxa"/>
          </w:tcPr>
          <w:p w14:paraId="234B1A4E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939" w:type="dxa"/>
          </w:tcPr>
          <w:p w14:paraId="133CE88C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939" w:type="dxa"/>
          </w:tcPr>
          <w:p w14:paraId="22B1FDE8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939" w:type="dxa"/>
          </w:tcPr>
          <w:p w14:paraId="216665DB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939" w:type="dxa"/>
          </w:tcPr>
          <w:p w14:paraId="705E3B5A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939" w:type="dxa"/>
          </w:tcPr>
          <w:p w14:paraId="6A17DFC2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939" w:type="dxa"/>
          </w:tcPr>
          <w:p w14:paraId="30EFFD41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939" w:type="dxa"/>
          </w:tcPr>
          <w:p w14:paraId="01D3700C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6A6D6C" w14:paraId="19575EEB" w14:textId="77777777">
        <w:tc>
          <w:tcPr>
            <w:tcW w:w="1171" w:type="dxa"/>
          </w:tcPr>
          <w:p w14:paraId="2F0975E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Celkové výdaje</w:t>
            </w:r>
          </w:p>
        </w:tc>
        <w:tc>
          <w:tcPr>
            <w:tcW w:w="828" w:type="dxa"/>
          </w:tcPr>
          <w:p w14:paraId="18FCD87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125,00</w:t>
            </w:r>
          </w:p>
        </w:tc>
        <w:tc>
          <w:tcPr>
            <w:tcW w:w="828" w:type="dxa"/>
          </w:tcPr>
          <w:p w14:paraId="370913E4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287,50</w:t>
            </w:r>
          </w:p>
        </w:tc>
        <w:tc>
          <w:tcPr>
            <w:tcW w:w="828" w:type="dxa"/>
          </w:tcPr>
          <w:p w14:paraId="724CD051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810,00</w:t>
            </w:r>
          </w:p>
        </w:tc>
        <w:tc>
          <w:tcPr>
            <w:tcW w:w="939" w:type="dxa"/>
          </w:tcPr>
          <w:p w14:paraId="07E0A000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1157,50</w:t>
            </w:r>
          </w:p>
        </w:tc>
        <w:tc>
          <w:tcPr>
            <w:tcW w:w="939" w:type="dxa"/>
          </w:tcPr>
          <w:p w14:paraId="4F66DB1E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1240,00</w:t>
            </w:r>
          </w:p>
        </w:tc>
        <w:tc>
          <w:tcPr>
            <w:tcW w:w="939" w:type="dxa"/>
          </w:tcPr>
          <w:p w14:paraId="37F0F3CD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1340,00</w:t>
            </w:r>
          </w:p>
        </w:tc>
        <w:tc>
          <w:tcPr>
            <w:tcW w:w="939" w:type="dxa"/>
          </w:tcPr>
          <w:p w14:paraId="31C5DA83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1340,00</w:t>
            </w:r>
          </w:p>
        </w:tc>
        <w:tc>
          <w:tcPr>
            <w:tcW w:w="939" w:type="dxa"/>
          </w:tcPr>
          <w:p w14:paraId="0E5CA1AB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1340,00</w:t>
            </w:r>
          </w:p>
        </w:tc>
        <w:tc>
          <w:tcPr>
            <w:tcW w:w="939" w:type="dxa"/>
          </w:tcPr>
          <w:p w14:paraId="12B2DAF1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1340,00</w:t>
            </w:r>
          </w:p>
        </w:tc>
        <w:tc>
          <w:tcPr>
            <w:tcW w:w="939" w:type="dxa"/>
          </w:tcPr>
          <w:p w14:paraId="7285FD6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8980,00</w:t>
            </w:r>
          </w:p>
        </w:tc>
      </w:tr>
      <w:tr w:rsidR="006A6D6C" w14:paraId="62F40D6D" w14:textId="77777777">
        <w:tc>
          <w:tcPr>
            <w:tcW w:w="1171" w:type="dxa"/>
          </w:tcPr>
          <w:p w14:paraId="47E112A5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Výdaje SR</w:t>
            </w:r>
          </w:p>
        </w:tc>
        <w:tc>
          <w:tcPr>
            <w:tcW w:w="828" w:type="dxa"/>
          </w:tcPr>
          <w:p w14:paraId="2095236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100,00</w:t>
            </w:r>
          </w:p>
        </w:tc>
        <w:tc>
          <w:tcPr>
            <w:tcW w:w="828" w:type="dxa"/>
          </w:tcPr>
          <w:p w14:paraId="147BE9A2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230,00</w:t>
            </w:r>
          </w:p>
        </w:tc>
        <w:tc>
          <w:tcPr>
            <w:tcW w:w="828" w:type="dxa"/>
          </w:tcPr>
          <w:p w14:paraId="70BE9CB4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700,00</w:t>
            </w:r>
          </w:p>
        </w:tc>
        <w:tc>
          <w:tcPr>
            <w:tcW w:w="939" w:type="dxa"/>
          </w:tcPr>
          <w:p w14:paraId="5B8E8FB6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894,00</w:t>
            </w:r>
          </w:p>
        </w:tc>
        <w:tc>
          <w:tcPr>
            <w:tcW w:w="939" w:type="dxa"/>
          </w:tcPr>
          <w:p w14:paraId="072C2FBC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972,00</w:t>
            </w:r>
          </w:p>
        </w:tc>
        <w:tc>
          <w:tcPr>
            <w:tcW w:w="939" w:type="dxa"/>
          </w:tcPr>
          <w:p w14:paraId="452FE104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1072,00</w:t>
            </w:r>
          </w:p>
        </w:tc>
        <w:tc>
          <w:tcPr>
            <w:tcW w:w="939" w:type="dxa"/>
          </w:tcPr>
          <w:p w14:paraId="58D82640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1072,00</w:t>
            </w:r>
          </w:p>
        </w:tc>
        <w:tc>
          <w:tcPr>
            <w:tcW w:w="939" w:type="dxa"/>
          </w:tcPr>
          <w:p w14:paraId="7740503F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1072,00</w:t>
            </w:r>
          </w:p>
        </w:tc>
        <w:tc>
          <w:tcPr>
            <w:tcW w:w="939" w:type="dxa"/>
          </w:tcPr>
          <w:p w14:paraId="79536969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1072,00</w:t>
            </w:r>
          </w:p>
        </w:tc>
        <w:tc>
          <w:tcPr>
            <w:tcW w:w="939" w:type="dxa"/>
          </w:tcPr>
          <w:p w14:paraId="0FFFC9F9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7184,00</w:t>
            </w:r>
          </w:p>
        </w:tc>
      </w:tr>
      <w:tr w:rsidR="006A6D6C" w14:paraId="09DEF9E7" w14:textId="77777777">
        <w:tc>
          <w:tcPr>
            <w:tcW w:w="1171" w:type="dxa"/>
          </w:tcPr>
          <w:p w14:paraId="47B402BD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Neveřejné zdroje</w:t>
            </w:r>
          </w:p>
        </w:tc>
        <w:tc>
          <w:tcPr>
            <w:tcW w:w="828" w:type="dxa"/>
          </w:tcPr>
          <w:p w14:paraId="5FD9D4F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25,00</w:t>
            </w:r>
          </w:p>
        </w:tc>
        <w:tc>
          <w:tcPr>
            <w:tcW w:w="828" w:type="dxa"/>
          </w:tcPr>
          <w:p w14:paraId="42CBEC6F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57,50</w:t>
            </w:r>
          </w:p>
        </w:tc>
        <w:tc>
          <w:tcPr>
            <w:tcW w:w="828" w:type="dxa"/>
          </w:tcPr>
          <w:p w14:paraId="243A3CF6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175,00</w:t>
            </w:r>
          </w:p>
        </w:tc>
        <w:tc>
          <w:tcPr>
            <w:tcW w:w="939" w:type="dxa"/>
          </w:tcPr>
          <w:p w14:paraId="69416CA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223,50</w:t>
            </w:r>
          </w:p>
        </w:tc>
        <w:tc>
          <w:tcPr>
            <w:tcW w:w="939" w:type="dxa"/>
          </w:tcPr>
          <w:p w14:paraId="0DF220DB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243,00</w:t>
            </w:r>
          </w:p>
        </w:tc>
        <w:tc>
          <w:tcPr>
            <w:tcW w:w="939" w:type="dxa"/>
          </w:tcPr>
          <w:p w14:paraId="1CE33166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268,00</w:t>
            </w:r>
          </w:p>
        </w:tc>
        <w:tc>
          <w:tcPr>
            <w:tcW w:w="939" w:type="dxa"/>
          </w:tcPr>
          <w:p w14:paraId="52EAE69A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268,00</w:t>
            </w:r>
          </w:p>
        </w:tc>
        <w:tc>
          <w:tcPr>
            <w:tcW w:w="939" w:type="dxa"/>
          </w:tcPr>
          <w:p w14:paraId="189D85E7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268,00</w:t>
            </w:r>
          </w:p>
        </w:tc>
        <w:tc>
          <w:tcPr>
            <w:tcW w:w="939" w:type="dxa"/>
          </w:tcPr>
          <w:p w14:paraId="6E26AE3B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268,00</w:t>
            </w:r>
          </w:p>
        </w:tc>
        <w:tc>
          <w:tcPr>
            <w:tcW w:w="939" w:type="dxa"/>
          </w:tcPr>
          <w:p w14:paraId="5CF6F9EE" w14:textId="77777777" w:rsidR="006A6D6C" w:rsidRDefault="00ED1CC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1796,00</w:t>
            </w:r>
          </w:p>
        </w:tc>
      </w:tr>
    </w:tbl>
    <w:p w14:paraId="4A25CF9C" w14:textId="77777777" w:rsidR="006A6D6C" w:rsidRPr="00A05D79" w:rsidRDefault="00ED1CC2" w:rsidP="001060D6">
      <w:pPr>
        <w:pStyle w:val="Odstavecseseznamem"/>
        <w:numPr>
          <w:ilvl w:val="0"/>
          <w:numId w:val="22"/>
        </w:numPr>
        <w:spacing w:before="240"/>
        <w:ind w:left="714" w:hanging="357"/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INTENZITA PODPORY</w:t>
      </w:r>
    </w:p>
    <w:p w14:paraId="279A7275" w14:textId="73801AE6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Předpokládaná průměrná intenzita podpory celkově za program je 80 %. Nejvyšší povolená intenzita podpory na projekt je 90 %. Poskytovatel může tuto intenzitu podpory dále upřesnit ve smyslu snížení v zadávací dokumentaci k dané veřejné soutěži. Intenzita podpory, stanovená jako procento uznaných nákladů projektu, bude vypočtena pro každý projekt i pro každého příjemce a dalšího účastníka, zejména dle čl. 25 Nařízení a Rámce. </w:t>
      </w:r>
    </w:p>
    <w:p w14:paraId="6B25C3B9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Předpokládá se, že nedílnou podmínkou poskytnutí podpory bude zajištění významné části finančních prostředků z jiných zdrojů (neveřejné prostředky, programy EU apod.). Tato podmínka bude blíže specifikována v zadávací dokumentaci k veřejné soutěži. </w:t>
      </w:r>
    </w:p>
    <w:p w14:paraId="22D28C84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ZPŮSOBILÉ A UZNANÉ NÁKLADY</w:t>
      </w:r>
    </w:p>
    <w:p w14:paraId="0265649F" w14:textId="18AE1169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Podpora bude poskytována na uznané náklady projektu, tj. na ty způsobilé náklady, které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poskytovatel schválí, které jsou zdůvodněné, a které jsou v rozsahu nezbytném pro účely projektu. Uchazeč může jako způsobilé náklady navrhnout pouze náklady vymezené vždy v souladu se zákonem o podpoře výzkumu, experimentálního vývoje a inovací, a dále v případě podpory v režimu veřejné podpory podle kategorie podpory, tj. v souladu s čl. 25 Nařízení. Bližší specifikace způsobilých nákladů bude součástí zadávací dokumentace </w:t>
      </w:r>
      <w:r>
        <w:rPr>
          <w:rFonts w:ascii="Arial" w:eastAsia="Arial" w:hAnsi="Arial" w:cs="Arial"/>
        </w:rPr>
        <w:br/>
        <w:t>k příslušné veřejné soutěži.</w:t>
      </w:r>
    </w:p>
    <w:p w14:paraId="06D1D1E0" w14:textId="77777777" w:rsidR="006A6D6C" w:rsidRPr="00A05D79" w:rsidRDefault="00ED1CC2" w:rsidP="00A05D79">
      <w:pPr>
        <w:pStyle w:val="Odstavecseseznamem"/>
        <w:numPr>
          <w:ilvl w:val="0"/>
          <w:numId w:val="22"/>
        </w:numPr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MOTIVAČNÍ ÚČINEK</w:t>
      </w:r>
    </w:p>
    <w:p w14:paraId="3A6D3500" w14:textId="1494DFA5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 naplnění cílů programu a podmínek Nařízení bude poskytovatel posuzovat přítomnost motivačního účinku podpory podle čl. 6 Nařízení</w:t>
      </w:r>
      <w:r w:rsidR="000F6EAC">
        <w:rPr>
          <w:rFonts w:ascii="Arial" w:eastAsia="Arial" w:hAnsi="Arial" w:cs="Arial"/>
        </w:rPr>
        <w:t>, což bude probíhat v rámci procesu hodnocení návrhů projektů</w:t>
      </w:r>
      <w:r w:rsidR="00EC0611">
        <w:rPr>
          <w:rFonts w:ascii="Arial" w:eastAsia="Arial" w:hAnsi="Arial" w:cs="Arial"/>
        </w:rPr>
        <w:t>.</w:t>
      </w:r>
    </w:p>
    <w:p w14:paraId="0A971B6F" w14:textId="017C2F67" w:rsidR="006A6D6C" w:rsidRDefault="00ED1CC2" w:rsidP="00B833BC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 splnění motivačního účinku dle čl. 6 Nařízení, platí, že práce na projektu/činnosti nesmí být zahájeny před podáním žádosti o podporu. Zahájením prací se dle čl. 2 odst. 23 Nařízení rozumí buď zahájení stavebních prací v rámci investice, nebo první právně vymahatelný závazek objednat zařízení či jiný závazek, v jehož důsledku se investice stává nezvratnou, podle toho, která událost nastane dříve. Za zahájení prací se nepovažují nákup pozemků a přípravné práce, jako je získání povolení a zpracování studií proveditelnosti. V případě převzetí se „zahájením prací“ rozumí okamžik, kdy je pořízen majetek přímo související </w:t>
      </w:r>
      <w:r>
        <w:rPr>
          <w:rFonts w:ascii="Arial" w:eastAsia="Arial" w:hAnsi="Arial" w:cs="Arial"/>
        </w:rPr>
        <w:br/>
        <w:t>s pořízenou provozovnou.</w:t>
      </w:r>
    </w:p>
    <w:p w14:paraId="143329E8" w14:textId="060E8570" w:rsidR="00B833BC" w:rsidRDefault="00B833BC" w:rsidP="00B833BC">
      <w:pPr>
        <w:spacing w:before="120" w:after="120"/>
        <w:jc w:val="both"/>
        <w:rPr>
          <w:rFonts w:ascii="Arial" w:eastAsia="Arial" w:hAnsi="Arial" w:cs="Arial"/>
        </w:rPr>
      </w:pPr>
    </w:p>
    <w:p w14:paraId="7621BDBA" w14:textId="48D31B56" w:rsidR="00B833BC" w:rsidRDefault="00B833BC" w:rsidP="00B833BC">
      <w:pPr>
        <w:spacing w:before="120" w:after="120"/>
        <w:jc w:val="both"/>
        <w:rPr>
          <w:rFonts w:ascii="Arial" w:eastAsia="Arial" w:hAnsi="Arial" w:cs="Arial"/>
        </w:rPr>
      </w:pPr>
    </w:p>
    <w:p w14:paraId="65CC88C8" w14:textId="77777777" w:rsidR="00B833BC" w:rsidRDefault="00B833BC" w:rsidP="00B833BC">
      <w:pPr>
        <w:spacing w:before="120" w:after="120"/>
        <w:jc w:val="both"/>
        <w:rPr>
          <w:rFonts w:ascii="Arial" w:eastAsia="Arial" w:hAnsi="Arial" w:cs="Arial"/>
        </w:rPr>
      </w:pPr>
    </w:p>
    <w:p w14:paraId="62041EBB" w14:textId="77777777" w:rsidR="006A6D6C" w:rsidRPr="00A05D79" w:rsidRDefault="00ED1CC2" w:rsidP="00B833BC">
      <w:pPr>
        <w:pStyle w:val="Odstavecseseznamem"/>
        <w:numPr>
          <w:ilvl w:val="0"/>
          <w:numId w:val="22"/>
        </w:numPr>
        <w:spacing w:before="240" w:after="120"/>
        <w:ind w:left="714" w:hanging="357"/>
        <w:contextualSpacing w:val="0"/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lastRenderedPageBreak/>
        <w:t>ZPŮSOB A OBECNÁ KRITÉRIA HODNOCENÍ PROJEKTŮ</w:t>
      </w:r>
    </w:p>
    <w:p w14:paraId="531BC89E" w14:textId="77777777" w:rsidR="006A6D6C" w:rsidRDefault="00ED1CC2">
      <w:pPr>
        <w:spacing w:before="240" w:after="1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Hodnocení návrhů projektů</w:t>
      </w:r>
    </w:p>
    <w:p w14:paraId="6BEC49AF" w14:textId="2F7B52A8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Návrhy projektů budou TA ČR komplexně hodnoceny v souladu se zákonem o podpoře výzkumu, experimentálního vývoje a inovací. Každý návrh projektu bude hodnocen několika nezávislými oponenty. Do hodnocení návrhů projektů budou zapojeni zahraniční hodnotitelé. Pro hodnocení návrhů projektů přijatých do veřejné soutěže ustaví TA ČR odborný poradní orgán. </w:t>
      </w:r>
    </w:p>
    <w:p w14:paraId="62D3BB2E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Navrhovaná obecná kritéria hodnocení:</w:t>
      </w:r>
    </w:p>
    <w:p w14:paraId="6FC0B03F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 xml:space="preserve">splnění podmínek veřejné soutěže, </w:t>
      </w:r>
    </w:p>
    <w:p w14:paraId="4E36473D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>potřebnost projektu a jeho přínos k naplňování cílů programu a relevantních národních strategií;</w:t>
      </w:r>
    </w:p>
    <w:p w14:paraId="1357CDCC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>proveditelnost a postup realizace projektu;</w:t>
      </w:r>
    </w:p>
    <w:p w14:paraId="2A7ECE66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 xml:space="preserve">soulad s vyhlášenými tématy; </w:t>
      </w:r>
    </w:p>
    <w:p w14:paraId="5DC0D6E0" w14:textId="77777777" w:rsidR="006A6D6C" w:rsidRDefault="00ED1CC2">
      <w:pPr>
        <w:numPr>
          <w:ilvl w:val="0"/>
          <w:numId w:val="5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>dosavadní kvalita, výsledky a zkušenosti účastníků / realizačního týmu (včetně mezinárodních zkušeností a spolupráce), a to i s ohledem na zaměření centra NCK;</w:t>
      </w:r>
    </w:p>
    <w:p w14:paraId="4A003594" w14:textId="77777777" w:rsidR="006A6D6C" w:rsidRDefault="00ED1CC2">
      <w:pPr>
        <w:numPr>
          <w:ilvl w:val="0"/>
          <w:numId w:val="5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rozsah a charakter spolupráce uvnitř konsorcia, způsob organizačního zajištění činnosti centra NCK a účinná spolupráce mezi podniky a výzkumnými organizacemi;</w:t>
      </w:r>
    </w:p>
    <w:p w14:paraId="05143F51" w14:textId="77777777" w:rsidR="006A6D6C" w:rsidRDefault="00ED1CC2">
      <w:pPr>
        <w:numPr>
          <w:ilvl w:val="0"/>
          <w:numId w:val="5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aplikační potenciál zvoleného zaměření centra NCK a navržený způsob spolupráce s aplikační sférou a jeho dlouhodobá vize,</w:t>
      </w:r>
    </w:p>
    <w:p w14:paraId="74CDC404" w14:textId="77777777" w:rsidR="006A6D6C" w:rsidRDefault="00ED1CC2">
      <w:pPr>
        <w:numPr>
          <w:ilvl w:val="0"/>
          <w:numId w:val="5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 xml:space="preserve">celkový rozpočet na řešení projektu a jeho přiměřenost k návrhu řešení projektu, </w:t>
      </w:r>
    </w:p>
    <w:p w14:paraId="14E5B322" w14:textId="77777777" w:rsidR="006A6D6C" w:rsidRDefault="00ED1CC2">
      <w:pPr>
        <w:numPr>
          <w:ilvl w:val="0"/>
          <w:numId w:val="5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objem spolupráce s aplikační sférou.</w:t>
      </w:r>
    </w:p>
    <w:p w14:paraId="4B15E58F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Podrobný způsob hodnocení návrhů projektů, bodové a prahové hodnoty jednotlivých kritérií hodnocení stanoví zadávací dokumentace k příslušné veřejné soutěži.</w:t>
      </w:r>
    </w:p>
    <w:p w14:paraId="2214805C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 hodnocení případných duplicit, návazností, komplementarit a synergií mezi různými již realizovanými projekty a návrhy projektů využije poskytovatel datové a analytické nástroje. </w:t>
      </w:r>
      <w:r>
        <w:rPr>
          <w:rFonts w:ascii="Arial" w:eastAsia="Arial" w:hAnsi="Arial" w:cs="Arial"/>
        </w:rPr>
        <w:br/>
        <w:t xml:space="preserve">K vyloučení možných duplicit projektů bude nastavení konkrétní veřejné soutěže realizováno ve spolupráci TA ČR s Ministerstvem školství mládeže a tělovýchovy, Ministerstvem průmyslu a obchodu a dle potřeby také s dalšími poskytovateli podpory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. </w:t>
      </w:r>
    </w:p>
    <w:p w14:paraId="078D01FF" w14:textId="77777777" w:rsidR="006A6D6C" w:rsidRDefault="00ED1CC2">
      <w:pPr>
        <w:spacing w:before="240" w:after="1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Hodnocení řešených projektů</w:t>
      </w:r>
    </w:p>
    <w:p w14:paraId="47924C6F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účelem zajištění podmínek pro dlouhodobou spolupráci ve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budou jednotlivé projekty každý rok jejich realizace vyhodnoceny, zejména kritéria týkající se financování center NCK z neveřejných prostředků a poskytovatel bude oprávněn na základě tohoto vyhodnocení upravit rozpočet daného centra NCK na následující rok. Toto hodnocení bude probíhat v rámci ročních průběžných zpráv.</w:t>
      </w:r>
    </w:p>
    <w:p w14:paraId="528B0C06" w14:textId="5B00FAC6" w:rsidR="006A6D6C" w:rsidRDefault="00ED1CC2">
      <w:pPr>
        <w:spacing w:before="120" w:after="120"/>
        <w:jc w:val="both"/>
      </w:pPr>
      <w:r>
        <w:rPr>
          <w:rFonts w:ascii="Arial" w:eastAsia="Arial" w:hAnsi="Arial" w:cs="Arial"/>
          <w:b/>
        </w:rPr>
        <w:t>Všechny projekty</w:t>
      </w:r>
      <w:r>
        <w:rPr>
          <w:rFonts w:ascii="Arial" w:eastAsia="Arial" w:hAnsi="Arial" w:cs="Arial"/>
        </w:rPr>
        <w:t xml:space="preserve"> budou dále v průběžném hodnocení hodnoceny z hlediska plnění cílů strategické výzkumné agendy, cílů tohoto programu a plnění dalších podmínek podle §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13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Zákona. </w:t>
      </w:r>
      <w:r w:rsidR="007C68C6">
        <w:rPr>
          <w:rFonts w:ascii="Arial" w:eastAsia="Arial" w:hAnsi="Arial" w:cs="Arial"/>
        </w:rPr>
        <w:t>Předpokládaným hlavním vstupem pro průběžné hodnocení projektů podpořených v rámci 1. VS budou průběžné zprávy za první rok řešení.</w:t>
      </w:r>
      <w:r>
        <w:rPr>
          <w:rFonts w:ascii="Arial" w:eastAsia="Arial" w:hAnsi="Arial" w:cs="Arial"/>
        </w:rPr>
        <w:t xml:space="preserve"> Pro průběžné hodnocení projektů podpořených z 2. VS se předpokládá zapojení zahraničních hodnotitelů. Průběžné hodnocení projektů podpořených ve všech veřejných soutěžích </w:t>
      </w:r>
      <w:r w:rsidR="00883FC7">
        <w:rPr>
          <w:rFonts w:ascii="Arial" w:eastAsia="Arial" w:hAnsi="Arial" w:cs="Arial"/>
        </w:rPr>
        <w:t xml:space="preserve">se </w:t>
      </w:r>
      <w:proofErr w:type="gramStart"/>
      <w:r w:rsidR="00883FC7">
        <w:rPr>
          <w:rFonts w:ascii="Arial" w:eastAsia="Arial" w:hAnsi="Arial" w:cs="Arial"/>
        </w:rPr>
        <w:t xml:space="preserve">uskuteční </w:t>
      </w:r>
      <w:r>
        <w:rPr>
          <w:rFonts w:ascii="Arial" w:eastAsia="Arial" w:hAnsi="Arial" w:cs="Arial"/>
        </w:rPr>
        <w:t xml:space="preserve"> na</w:t>
      </w:r>
      <w:proofErr w:type="gramEnd"/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základě níže navrhovaných kritérií:</w:t>
      </w:r>
    </w:p>
    <w:p w14:paraId="3B5929E2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lastRenderedPageBreak/>
        <w:t>objem zakázek smluvního výzkumu, podnikových investic a dalších komerčních příjmů daného centra NCK;</w:t>
      </w:r>
    </w:p>
    <w:p w14:paraId="66A88590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 xml:space="preserve">objem dotací a dalších zdrojů na realizaci projektů </w:t>
      </w:r>
      <w:proofErr w:type="spellStart"/>
      <w:r>
        <w:rPr>
          <w:rFonts w:ascii="Arial" w:eastAsia="Arial" w:hAnsi="Arial" w:cs="Arial"/>
        </w:rPr>
        <w:t>kolaborativního</w:t>
      </w:r>
      <w:proofErr w:type="spellEnd"/>
      <w:r>
        <w:rPr>
          <w:rFonts w:ascii="Arial" w:eastAsia="Arial" w:hAnsi="Arial" w:cs="Arial"/>
        </w:rPr>
        <w:t xml:space="preserve"> výzkumu (např. z ostatních národních či evropských dotačních programů) daného centra NCK;</w:t>
      </w:r>
    </w:p>
    <w:p w14:paraId="6A18C392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počet spolupracujících subjektů aplikační sféry (účastníků projektu, tedy partnerů) a způsob spolupráce (jasně stanovená pravidla řízení centra) daného centra NCK;</w:t>
      </w:r>
    </w:p>
    <w:p w14:paraId="5313A535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mezinárodní přesah / spolupráce;</w:t>
      </w:r>
    </w:p>
    <w:p w14:paraId="33B5D50C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počet aplikovaných výsledků uplatněných v praxi a výše příjmů z nich.</w:t>
      </w:r>
    </w:p>
    <w:p w14:paraId="61BAEB53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 účely hodnocení projektů podpořených v rámci 1. veřejné soutěže, které budou chtít žádat o prodlo</w:t>
      </w:r>
      <w:r w:rsidR="007C68C6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>žení projektu o další 2 roky, budou muset tyto projekty dále splnit požadavky stanovené programem a zadávací dokumentací.</w:t>
      </w:r>
    </w:p>
    <w:p w14:paraId="5AE2B14F" w14:textId="77777777" w:rsidR="006A6D6C" w:rsidRDefault="00ED1CC2">
      <w:pPr>
        <w:numPr>
          <w:ilvl w:val="0"/>
          <w:numId w:val="3"/>
        </w:numPr>
        <w:spacing w:before="120" w:after="120"/>
        <w:ind w:left="714" w:hanging="357"/>
        <w:jc w:val="both"/>
      </w:pPr>
      <w:r>
        <w:rPr>
          <w:rFonts w:ascii="Arial" w:eastAsia="Arial" w:hAnsi="Arial" w:cs="Arial"/>
        </w:rPr>
        <w:t xml:space="preserve">Příjemce předloží návrh na řešení projektu v dalším období a tento návrh bude poskytovatelem hodnocen v roce 2020. Předpokládaná kritéria hodnocení: </w:t>
      </w:r>
    </w:p>
    <w:p w14:paraId="45B8FB97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navrhovaný způsob implementace strategické výzkumné agendy;</w:t>
      </w:r>
    </w:p>
    <w:p w14:paraId="6498AC2A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 xml:space="preserve">aplikační potenciál předpokládaných výsledků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>;</w:t>
      </w:r>
    </w:p>
    <w:p w14:paraId="5011BF11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přiměřenost nákladů na implementaci strategické výzkumné agendy;</w:t>
      </w:r>
    </w:p>
    <w:p w14:paraId="53DBDA06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rozsah a charakter spolupráce uvnitř konsorcia;</w:t>
      </w:r>
    </w:p>
    <w:p w14:paraId="3447F2C5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způsob organizačního zajištění činnosti centra NCK;</w:t>
      </w:r>
    </w:p>
    <w:p w14:paraId="47393A32" w14:textId="77777777" w:rsidR="006A6D6C" w:rsidRDefault="00ED1CC2">
      <w:pPr>
        <w:numPr>
          <w:ilvl w:val="1"/>
          <w:numId w:val="3"/>
        </w:numPr>
        <w:spacing w:before="120" w:after="120"/>
        <w:ind w:hanging="360"/>
        <w:jc w:val="both"/>
      </w:pPr>
      <w:r>
        <w:rPr>
          <w:rFonts w:ascii="Arial" w:eastAsia="Arial" w:hAnsi="Arial" w:cs="Arial"/>
        </w:rPr>
        <w:t>celkový rozpočet na řešení projektu včetně míry spolufinancování uchazeči nebo partnery.</w:t>
      </w:r>
    </w:p>
    <w:p w14:paraId="797A66B4" w14:textId="1F6F6912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bookmarkStart w:id="4" w:name="_3znysh7" w:colFirst="0" w:colLast="0"/>
      <w:bookmarkEnd w:id="4"/>
      <w:r>
        <w:rPr>
          <w:rFonts w:ascii="Arial" w:eastAsia="Arial" w:hAnsi="Arial" w:cs="Arial"/>
        </w:rPr>
        <w:t>V případě nesplnění podmínek stanovených ve veřejné soutěži bude ze strany poskytovatele přistoupeno k ukončení projektu, a to na základě rozhodnutí Rady programu.</w:t>
      </w:r>
    </w:p>
    <w:p w14:paraId="67C2FFB9" w14:textId="77777777" w:rsidR="006A6D6C" w:rsidRPr="00A05D79" w:rsidRDefault="00ED1CC2" w:rsidP="00523839">
      <w:pPr>
        <w:pStyle w:val="Odstavecseseznamem"/>
        <w:numPr>
          <w:ilvl w:val="0"/>
          <w:numId w:val="22"/>
        </w:numPr>
        <w:spacing w:before="240"/>
        <w:ind w:left="714" w:hanging="357"/>
        <w:rPr>
          <w:rFonts w:ascii="Arial" w:eastAsia="Arial" w:hAnsi="Arial" w:cs="Arial"/>
          <w:b/>
        </w:rPr>
      </w:pPr>
      <w:r w:rsidRPr="00A05D79">
        <w:rPr>
          <w:rFonts w:ascii="Arial" w:eastAsia="Arial" w:hAnsi="Arial" w:cs="Arial"/>
          <w:b/>
        </w:rPr>
        <w:t>SROVNÁNÍ SE SOUČASNÝM STAVEM V ČESKÉ REPUBLICE A V ZAHRANIČÍ</w:t>
      </w:r>
    </w:p>
    <w:p w14:paraId="3ED9519F" w14:textId="2E547A9C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letech </w:t>
      </w:r>
      <w:proofErr w:type="gramStart"/>
      <w:r>
        <w:rPr>
          <w:rFonts w:ascii="Arial" w:eastAsia="Arial" w:hAnsi="Arial" w:cs="Arial"/>
        </w:rPr>
        <w:t>2007 – 2014</w:t>
      </w:r>
      <w:proofErr w:type="gramEnd"/>
      <w:r>
        <w:rPr>
          <w:rFonts w:ascii="Arial" w:eastAsia="Arial" w:hAnsi="Arial" w:cs="Arial"/>
        </w:rPr>
        <w:t>, resp. 2016 v ČR došlo s využitím zdrojů ze státního rozpočtu ČR a zejména pak finančních prostředků strukturálních fondů EU k výraznému rozšíření výzkumné základny. V programu TA ČR Centra kompetence byl podpořen vznik a činnost 34 aplikačně zaměřených výzkumných center, v nichž působí instituce veřejného výzkumu i subjekty z podnikatelského sektoru. Průběžné hodnocení programu Centra kompetence, které je jedním z podkladů pro tento program, bylo provedeno v roce 2015 a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následně zveřejn</w:t>
      </w:r>
      <w:r w:rsidR="00EC0611">
        <w:rPr>
          <w:rFonts w:ascii="Arial" w:eastAsia="Arial" w:hAnsi="Arial" w:cs="Arial"/>
        </w:rPr>
        <w:t>ěno</w:t>
      </w:r>
      <w:r w:rsidR="00883FC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na webových stránkách TA ČR. Dále bylo v rámci OP </w:t>
      </w:r>
      <w:proofErr w:type="spellStart"/>
      <w:r>
        <w:rPr>
          <w:rFonts w:ascii="Arial" w:eastAsia="Arial" w:hAnsi="Arial" w:cs="Arial"/>
        </w:rPr>
        <w:t>VaVpI</w:t>
      </w:r>
      <w:proofErr w:type="spellEnd"/>
      <w:r>
        <w:rPr>
          <w:rFonts w:ascii="Arial" w:eastAsia="Arial" w:hAnsi="Arial" w:cs="Arial"/>
        </w:rPr>
        <w:t xml:space="preserve"> podpořeno 48 projektů evropských center excelence a regionálních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 xml:space="preserve"> center, která realizují jak základní výzkum na hranicích současného poznání, tak i aplikovaný výzkum s využitím v aplikacích. V ČR také působí několik desítek infrastrukturních zařízení, která disponují kvalitním výzkumným vybavením (často v evropském měřítku unikátním), která mohou</w:t>
      </w:r>
      <w:r w:rsidR="00EC0611">
        <w:rPr>
          <w:rFonts w:ascii="Arial" w:eastAsia="Arial" w:hAnsi="Arial" w:cs="Arial"/>
        </w:rPr>
        <w:t xml:space="preserve"> </w:t>
      </w:r>
      <w:r w:rsidR="00592FDA">
        <w:rPr>
          <w:rFonts w:ascii="Arial" w:eastAsia="Arial" w:hAnsi="Arial" w:cs="Arial"/>
        </w:rPr>
        <w:t xml:space="preserve">využívat i další pracoviště. </w:t>
      </w:r>
      <w:r>
        <w:rPr>
          <w:rFonts w:ascii="Arial" w:eastAsia="Arial" w:hAnsi="Arial" w:cs="Arial"/>
        </w:rPr>
        <w:t xml:space="preserve">K posílení výzkumných kapacit přispěla i Grantová agentura ČR, která v letech 2012 až 2018 podpořila projekty na podporu excelence v základním výzkumu, ve kterém byl realizován špičkový multidisciplinární základní výzkum. </w:t>
      </w:r>
    </w:p>
    <w:p w14:paraId="321D0C71" w14:textId="2991FD6C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Stávající systém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 xml:space="preserve"> center a infrastruktury je stále fragmentován. Centra působí odděleně a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často nedisponují kritickou velikostí, experimentálním vybavením a zkušenostmi </w:t>
      </w:r>
      <w:r>
        <w:rPr>
          <w:rFonts w:ascii="Arial" w:eastAsia="Arial" w:hAnsi="Arial" w:cs="Arial"/>
        </w:rPr>
        <w:lastRenderedPageBreak/>
        <w:t xml:space="preserve">umožňujícími realizaci náročných a rozsáhlých projektů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, které vyžadují multidisciplinární výzkum. V současné době také neexistuje žádný mechanismus, který by zajistil koordinaci jejich aktivit a stimuloval realizaci náročnějších a strategicky zaměřených projektů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s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větším dopadem na rozvoj mezinárodní konkurenceschopnosti ČR. </w:t>
      </w:r>
    </w:p>
    <w:p w14:paraId="1F731010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Také se ukazuje, že některá centra dosud nemají vytvořené dostatečné vazby na aplikační sektor, řada aplikačně zaměřených center nemá strategické partnery, se kterými by mohla spolupracovat v dlouhodobějších a rozsáhlejších projektech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. To se odráží v malém objemu smluvního výzkumu a řešení zakázek omezeného rozsahu (finančně i dopadem). Z průběžného vyhodnocení OP </w:t>
      </w:r>
      <w:proofErr w:type="spellStart"/>
      <w:r>
        <w:rPr>
          <w:rFonts w:ascii="Arial" w:eastAsia="Arial" w:hAnsi="Arial" w:cs="Arial"/>
        </w:rPr>
        <w:t>VaVpI</w:t>
      </w:r>
      <w:proofErr w:type="spellEnd"/>
      <w:r>
        <w:rPr>
          <w:rFonts w:ascii="Arial" w:eastAsia="Arial" w:hAnsi="Arial" w:cs="Arial"/>
        </w:rPr>
        <w:t xml:space="preserve"> také vyplývá, že příjmy nově vytvořených center ze smluvního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 xml:space="preserve"> jsou nižší, než se očekávalo, což může mít dopady na udržitelnost těchto výzkumných infrastruktur.</w:t>
      </w:r>
    </w:p>
    <w:p w14:paraId="1C3BF474" w14:textId="254D4923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Jak uvádí NP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2016-2020, v oblasti aplikovaného výzkumu, transferu znalostí a využívání nových poznatků výzkumu a vývoje zůstává řada slabých míst. Významným problémem současného systému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je především nedostatečně rozvinutá základna aplikovaného výzkumu, což souvisí s likvidací základny aplikovaného výzkumu v 90. letech. V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České republice zatím chybí větší zastoupení výzkumných organizací, jejichž primární činností by byla realizace výzkumu a vývoje pro potřeby aplikačního sektoru a kde by vznikaly výsledky s vysokým potenciálem pro uplatnění v inovacích, o čemž mj. svědčí nízký počet mezinárodních patentových přihlášek podaných výzkumnými organizacemi i podniky z České republiky.  </w:t>
      </w:r>
    </w:p>
    <w:p w14:paraId="431DDA49" w14:textId="77777777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Proto je i dle NP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nezbytné obnovit institucionální základnu aplikovaného výzkumu. Pro zkvalitnění aplikovaného výzkumu a zvýšení jeho dopadů pro aplikační sektor a společnost je zapotřebí vhodným způsobem transformovat část výzkumných kapacit České republiky na kvalitní pracoviště aplikovaného výzkumu, která budou intenzivně spolupracovat s aplikačním sektorem a kde budou vznikat poznatky s vysokým potenciálem pro přímé uplatnění v inovacích (a pro které budou příjmy z aplikačního sektoru tvořit významnou část jejich rozpočtu na výzkum a vývoj).</w:t>
      </w:r>
    </w:p>
    <w:p w14:paraId="6B4BFBAF" w14:textId="54E8A533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Konkrétně pak specifickým cílem 3.1 NP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je posílit institucionální základnu aplikovaného výzkumu. Na tento cíl reaguje zejména opatření č. 16 Vytvořit podmínky pro vznik center aplikovaného výzkumu, v jehož rámci by měly být vytvořeny mechanismy a postupy, s jejichž využitím budou některá výzkumná pracoviště, včetně výzkumných center podpořených z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Operačního programu Výzkum a vývoj pro inovace (OP </w:t>
      </w:r>
      <w:proofErr w:type="spellStart"/>
      <w:r>
        <w:rPr>
          <w:rFonts w:ascii="Arial" w:eastAsia="Arial" w:hAnsi="Arial" w:cs="Arial"/>
        </w:rPr>
        <w:t>VaVpI</w:t>
      </w:r>
      <w:proofErr w:type="spellEnd"/>
      <w:r>
        <w:rPr>
          <w:rFonts w:ascii="Arial" w:eastAsia="Arial" w:hAnsi="Arial" w:cs="Arial"/>
        </w:rPr>
        <w:t xml:space="preserve">) i dalších programů, motivována k transformaci na výzkumně a technologicky zaměřená centra, jejichž hlavním posláním těchto bude aplikovaný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 xml:space="preserve"> pro potřeby podniků a společnosti. Tato centra budou podle NP </w:t>
      </w:r>
      <w:proofErr w:type="spellStart"/>
      <w:proofErr w:type="gram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 intenzivně</w:t>
      </w:r>
      <w:proofErr w:type="gramEnd"/>
      <w:r>
        <w:rPr>
          <w:rFonts w:ascii="Arial" w:eastAsia="Arial" w:hAnsi="Arial" w:cs="Arial"/>
        </w:rPr>
        <w:t xml:space="preserve"> spolupracovat s aplikačním sektorem a získávat významnou část svých příjmů ze smluvního výzkumu. Zároveň budou v souladu s opatřením č. 17 zlepšeny podmínky pro šíření znalostí z VO a stimulována jejich spolupráci s aplikačním sektorem. </w:t>
      </w:r>
    </w:p>
    <w:p w14:paraId="7DF91770" w14:textId="52330640" w:rsidR="00EB02E3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Strategický cílem 4 NP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je zvýšit inovační výkonnost podniků v ČR posílením výzkumných aktivit a zaváděním nových technologií a postupů směřujících k zefektivnění podnikových procesů. Součástí cíle 4.1 Posílit výzkumné a inovační aktivity podniků je i stimulace podniků k zahájení vlastních aktivit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 xml:space="preserve"> i k rozvoji jejich spolupráce s VO, což by mělo přispět i ke zvýšení schopnosti podniků absorbovat výsledky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 xml:space="preserve"> realizovaného v těchto institucích. Tato oblast je řešena opatřením č. 18 Stimulovat podniky k zahájení a rozvoji aktivit výzkumu a vývoje. V souladu se strategickým cílem 5 je nezbytné i strategické zacílení podpory aplikovaného výzkumu na aktuální a potenciální budoucí potřeby podniků a</w:t>
      </w:r>
      <w:r w:rsidR="00B833B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společnosti. V těchto souvislostech musí být posílena účast podniků, VO, státní správy i</w:t>
      </w:r>
      <w:r w:rsidR="00B833B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občanského sektoru při identifikaci těchto potřeb i při nastavení nástrojů cílené podpory </w:t>
      </w:r>
      <w:r>
        <w:rPr>
          <w:rFonts w:ascii="Arial" w:eastAsia="Arial" w:hAnsi="Arial" w:cs="Arial"/>
        </w:rPr>
        <w:lastRenderedPageBreak/>
        <w:t>výzkumu reagujícího na tyto potřeby (specifický cíl 5.1). V opatření č. 25 Vytvořit a</w:t>
      </w:r>
      <w:r w:rsidR="00344F80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implementovat principy pro stanovení hlavních směrů aplikovaného výzkumu a přípravu navazujících programů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je v těchto souvislostech stanoveno, že musí být nastaven operativní proces, kde budou vyžívány prvky strategické inteligence, jako je hodnocení, konzultace s odbornými platformami, analýzy trendů a výhledy, pro identifikaci hlavních směrů aplikovaného výzkumu a pro přípravu či úpravu existujících programů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, které budou tyto hlavní směry aplikovaného výzkumu podporovat. </w:t>
      </w:r>
    </w:p>
    <w:p w14:paraId="58053160" w14:textId="186172F6" w:rsidR="006A6D6C" w:rsidRDefault="00ED1CC2">
      <w:pPr>
        <w:keepLines/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Specifickým cílem 5.2 je vytvoření koncepce podpory aplikovaného výzkumu, který bude navázán na identifikované potřeby společnosti a aplikační sféry a který bude stimulovat rozvoj strategické a dlouhodobé spolupráce mezi firmami, VO, státní správou i občanským sektorem. V rámci opatření č. 28 budou stanoveny hlavní směry podpory aplikovaného výzkumu, které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budou podporovány prostřednictvím koordinovaného systému nástrojů (opatření č. 29). Zároveň budou stanoveny konkrétní milníky a cíle, jejichž plnění bude vyhodnocováno. Ve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všech nástrojích na podporu aplikovaného výzkumu by v souladu s NP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měla být podporována dlouhodobá a strategicky orientovaná spolupráce mezi podniky VO, která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umožní vývoj produktů s vysokou přidanou hodnotou.</w:t>
      </w:r>
    </w:p>
    <w:p w14:paraId="5A441C4C" w14:textId="79F078F4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bookmarkStart w:id="5" w:name="_2et92p0" w:colFirst="0" w:colLast="0"/>
      <w:bookmarkEnd w:id="5"/>
      <w:r>
        <w:rPr>
          <w:rFonts w:ascii="Arial" w:eastAsia="Arial" w:hAnsi="Arial" w:cs="Arial"/>
        </w:rPr>
        <w:t>Zahraniční zkušenosti v této oblasti podpory tzv. center kompetence projednává Technologická agentura ČR dlouhodobě zejména v rámci sítě evropských inovačních agentur TAFTIE. Zejména se jednalo o projekt (</w:t>
      </w:r>
      <w:proofErr w:type="spellStart"/>
      <w:r>
        <w:rPr>
          <w:rFonts w:ascii="Arial" w:eastAsia="Arial" w:hAnsi="Arial" w:cs="Arial"/>
        </w:rPr>
        <w:t>Task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Force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CompAct</w:t>
      </w:r>
      <w:proofErr w:type="spellEnd"/>
      <w:r>
        <w:rPr>
          <w:rFonts w:ascii="Arial" w:eastAsia="Arial" w:hAnsi="Arial" w:cs="Arial"/>
        </w:rPr>
        <w:t>, který zhodnotil principy a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výstupy programů na podporu center kompetence v rámci většiny evropských zemí. Finální zpráv</w:t>
      </w:r>
      <w:r w:rsidR="00765F1C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 z tohoto projektu </w:t>
      </w:r>
      <w:r w:rsidR="00765F1C">
        <w:rPr>
          <w:rFonts w:ascii="Arial" w:eastAsia="Arial" w:hAnsi="Arial" w:cs="Arial"/>
        </w:rPr>
        <w:t>TAFTIE publikovala</w:t>
      </w:r>
      <w:r>
        <w:rPr>
          <w:rFonts w:ascii="Arial" w:eastAsia="Arial" w:hAnsi="Arial" w:cs="Arial"/>
        </w:rPr>
        <w:t xml:space="preserve"> v květnu 2016</w:t>
      </w:r>
      <w:r w:rsidR="00765F1C">
        <w:rPr>
          <w:rFonts w:ascii="Arial" w:eastAsia="Arial" w:hAnsi="Arial" w:cs="Arial"/>
        </w:rPr>
        <w:t>. Zpráva</w:t>
      </w:r>
      <w:r>
        <w:rPr>
          <w:rFonts w:ascii="Arial" w:eastAsia="Arial" w:hAnsi="Arial" w:cs="Arial"/>
        </w:rPr>
        <w:t xml:space="preserve"> je dostupná na webu </w:t>
      </w:r>
      <w:hyperlink r:id="rId8">
        <w:r>
          <w:rPr>
            <w:rFonts w:ascii="Arial" w:eastAsia="Arial" w:hAnsi="Arial" w:cs="Arial"/>
            <w:color w:val="0000FF"/>
            <w:u w:val="single"/>
          </w:rPr>
          <w:t>http://www.taftie.org/sites/default/files/Taftie_TF_CompAct_Final_Report%20_LV.pdf</w:t>
        </w:r>
      </w:hyperlink>
      <w:r>
        <w:rPr>
          <w:rFonts w:ascii="Arial" w:eastAsia="Arial" w:hAnsi="Arial" w:cs="Arial"/>
        </w:rPr>
        <w:t xml:space="preserve">. Programy na podporu tzv. center kompetence (CK) se zaměřují na rozvoj aplikovaného </w:t>
      </w:r>
      <w:proofErr w:type="spellStart"/>
      <w:r>
        <w:rPr>
          <w:rFonts w:ascii="Arial" w:eastAsia="Arial" w:hAnsi="Arial" w:cs="Arial"/>
        </w:rPr>
        <w:t>VaV</w:t>
      </w:r>
      <w:proofErr w:type="spellEnd"/>
      <w:r>
        <w:rPr>
          <w:rFonts w:ascii="Arial" w:eastAsia="Arial" w:hAnsi="Arial" w:cs="Arial"/>
        </w:rPr>
        <w:t>. Podporují dlouhodobou multilaterální spolupráci výzkumných organizací s podniky s cílem generování znalostí, které zvýší inovační výkonnost a konkurenceschopnost podnikového sektoru. CK jsou chápána jako významný nástroj národní inovační politiky, který zvyšuje technologickou vyspělost a inovativnost podniků (včetně jejich konkurenceschopnosti) a současně přispívá ke strukturálním změnám ekonomik a zvyšování jejich globální konkurenceschopnosti.</w:t>
      </w:r>
    </w:p>
    <w:p w14:paraId="01FE6315" w14:textId="0D2B9D70" w:rsidR="006A6D6C" w:rsidRDefault="00ED1CC2">
      <w:pPr>
        <w:spacing w:before="12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Specifickým příkladem účinné podpory výzkumu silně orientovaného na uplatnění výsledků v praxi je německý model </w:t>
      </w:r>
      <w:proofErr w:type="spellStart"/>
      <w:r>
        <w:rPr>
          <w:rFonts w:ascii="Arial" w:eastAsia="Arial" w:hAnsi="Arial" w:cs="Arial"/>
        </w:rPr>
        <w:t>Fraunhoferovy</w:t>
      </w:r>
      <w:proofErr w:type="spellEnd"/>
      <w:r>
        <w:rPr>
          <w:rFonts w:ascii="Arial" w:eastAsia="Arial" w:hAnsi="Arial" w:cs="Arial"/>
        </w:rPr>
        <w:t xml:space="preserve"> společnosti, která se skládá ze systému tzv. </w:t>
      </w:r>
      <w:proofErr w:type="spellStart"/>
      <w:r>
        <w:rPr>
          <w:rFonts w:ascii="Arial" w:eastAsia="Arial" w:hAnsi="Arial" w:cs="Arial"/>
        </w:rPr>
        <w:t>Fraunhoferových</w:t>
      </w:r>
      <w:proofErr w:type="spellEnd"/>
      <w:r>
        <w:rPr>
          <w:rFonts w:ascii="Arial" w:eastAsia="Arial" w:hAnsi="Arial" w:cs="Arial"/>
        </w:rPr>
        <w:t xml:space="preserve"> institutů. TA ČR také dlouhodobě se zástupci </w:t>
      </w:r>
      <w:proofErr w:type="spellStart"/>
      <w:r>
        <w:rPr>
          <w:rFonts w:ascii="Arial" w:eastAsia="Arial" w:hAnsi="Arial" w:cs="Arial"/>
        </w:rPr>
        <w:t>Fraunhoferovy</w:t>
      </w:r>
      <w:proofErr w:type="spellEnd"/>
      <w:r>
        <w:rPr>
          <w:rFonts w:ascii="Arial" w:eastAsia="Arial" w:hAnsi="Arial" w:cs="Arial"/>
        </w:rPr>
        <w:t xml:space="preserve"> společnosti komunikuje a diskutuje parametry nastavení tohoto modelu. </w:t>
      </w:r>
      <w:proofErr w:type="spellStart"/>
      <w:r>
        <w:rPr>
          <w:rFonts w:ascii="Arial" w:eastAsia="Arial" w:hAnsi="Arial" w:cs="Arial"/>
        </w:rPr>
        <w:t>Fraunhoferova</w:t>
      </w:r>
      <w:proofErr w:type="spellEnd"/>
      <w:r>
        <w:rPr>
          <w:rFonts w:ascii="Arial" w:eastAsia="Arial" w:hAnsi="Arial" w:cs="Arial"/>
        </w:rPr>
        <w:t xml:space="preserve"> společnost je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společnost veřejného práva zřízená státem. Není obdobou obchodních společností tak, jak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je známe v českém právním prostředí. </w:t>
      </w:r>
      <w:proofErr w:type="spellStart"/>
      <w:r>
        <w:rPr>
          <w:rFonts w:ascii="Arial" w:eastAsia="Arial" w:hAnsi="Arial" w:cs="Arial"/>
        </w:rPr>
        <w:t>Fraunhoferova</w:t>
      </w:r>
      <w:proofErr w:type="spellEnd"/>
      <w:r>
        <w:rPr>
          <w:rFonts w:ascii="Arial" w:eastAsia="Arial" w:hAnsi="Arial" w:cs="Arial"/>
        </w:rPr>
        <w:t xml:space="preserve"> společnost představuje zastřešující entitu, na kterou jsou napojeny smluvním vztahem </w:t>
      </w:r>
      <w:proofErr w:type="spellStart"/>
      <w:r>
        <w:rPr>
          <w:rFonts w:ascii="Arial" w:eastAsia="Arial" w:hAnsi="Arial" w:cs="Arial"/>
        </w:rPr>
        <w:t>Fraunhoferovy</w:t>
      </w:r>
      <w:proofErr w:type="spellEnd"/>
      <w:r>
        <w:rPr>
          <w:rFonts w:ascii="Arial" w:eastAsia="Arial" w:hAnsi="Arial" w:cs="Arial"/>
        </w:rPr>
        <w:t xml:space="preserve"> instituty (přijetí na žádost institutů). Tyto instituty se zaměřují na konkrétní oblasti výzkumu a vývoje, a vznikají a zanikají dle potřeb a výkonů v daném segmentu.  </w:t>
      </w:r>
    </w:p>
    <w:p w14:paraId="172BDD72" w14:textId="4C0CFB7F" w:rsidR="006A6D6C" w:rsidRDefault="00ED1CC2" w:rsidP="00B833BC">
      <w:pPr>
        <w:keepLines/>
        <w:spacing w:before="120" w:after="120"/>
        <w:jc w:val="both"/>
        <w:rPr>
          <w:rFonts w:ascii="Arial" w:eastAsia="Arial" w:hAnsi="Arial" w:cs="Arial"/>
        </w:rPr>
      </w:pPr>
      <w:bookmarkStart w:id="6" w:name="_tyjcwt" w:colFirst="0" w:colLast="0"/>
      <w:bookmarkEnd w:id="6"/>
      <w:r>
        <w:rPr>
          <w:rFonts w:ascii="Arial" w:eastAsia="Arial" w:hAnsi="Arial" w:cs="Arial"/>
        </w:rPr>
        <w:t xml:space="preserve">Stěžejním aspektem je model financování, kdy přibližně 70 % finančních prostředků pochází z vlastní činnosti institutů, a cca 30 % je jim rozdělováno na základě dosahovaných výsledků (zejména objemu příjmů ze smluvního výzkumu) jako podpora ze státních prostředků prostřednictvím </w:t>
      </w:r>
      <w:proofErr w:type="spellStart"/>
      <w:r>
        <w:rPr>
          <w:rFonts w:ascii="Arial" w:eastAsia="Arial" w:hAnsi="Arial" w:cs="Arial"/>
        </w:rPr>
        <w:t>Fraunhoferovy</w:t>
      </w:r>
      <w:proofErr w:type="spellEnd"/>
      <w:r>
        <w:rPr>
          <w:rFonts w:ascii="Arial" w:eastAsia="Arial" w:hAnsi="Arial" w:cs="Arial"/>
        </w:rPr>
        <w:t xml:space="preserve"> společnosti. Tento model vznikl v Německu již v roce 1949 a </w:t>
      </w:r>
      <w:r w:rsidR="00EC0611">
        <w:rPr>
          <w:rFonts w:ascii="Arial" w:eastAsia="Arial" w:hAnsi="Arial" w:cs="Arial"/>
        </w:rPr>
        <w:t>je</w:t>
      </w:r>
      <w:r w:rsidR="00B62DA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silným motivačním nástrojem pro efektivní směrování výzkumu k reálným potřebám ekonomiky. Díky tomu tento model financování center přebraly i některé další země ve svých schématech podpory spolupráce výzkumných center a podnikové sféry (například Velká Británie v rámci tzv. </w:t>
      </w:r>
      <w:proofErr w:type="spellStart"/>
      <w:r>
        <w:rPr>
          <w:rFonts w:ascii="Arial" w:eastAsia="Arial" w:hAnsi="Arial" w:cs="Arial"/>
        </w:rPr>
        <w:t>Catapult</w:t>
      </w:r>
      <w:proofErr w:type="spellEnd"/>
      <w:r>
        <w:rPr>
          <w:rFonts w:ascii="Arial" w:eastAsia="Arial" w:hAnsi="Arial" w:cs="Arial"/>
        </w:rPr>
        <w:t xml:space="preserve"> Center). Schéma podpory analogické s modelem </w:t>
      </w:r>
      <w:proofErr w:type="spellStart"/>
      <w:r>
        <w:rPr>
          <w:rFonts w:ascii="Arial" w:eastAsia="Arial" w:hAnsi="Arial" w:cs="Arial"/>
        </w:rPr>
        <w:t>Fraunhoferovy</w:t>
      </w:r>
      <w:proofErr w:type="spellEnd"/>
      <w:r>
        <w:rPr>
          <w:rFonts w:ascii="Arial" w:eastAsia="Arial" w:hAnsi="Arial" w:cs="Arial"/>
        </w:rPr>
        <w:t xml:space="preserve"> společnosti (zejména v oblasti modelu financování) doposud v České republice chybí.  </w:t>
      </w:r>
    </w:p>
    <w:sectPr w:rsidR="006A6D6C">
      <w:footerReference w:type="default" r:id="rId9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AA687" w14:textId="77777777" w:rsidR="009123D5" w:rsidRDefault="009123D5">
      <w:r>
        <w:separator/>
      </w:r>
    </w:p>
  </w:endnote>
  <w:endnote w:type="continuationSeparator" w:id="0">
    <w:p w14:paraId="46E14BC9" w14:textId="77777777" w:rsidR="009123D5" w:rsidRDefault="0091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3019125"/>
      <w:docPartObj>
        <w:docPartGallery w:val="Page Numbers (Bottom of Page)"/>
        <w:docPartUnique/>
      </w:docPartObj>
    </w:sdtPr>
    <w:sdtEndPr/>
    <w:sdtContent>
      <w:p w14:paraId="68B634D2" w14:textId="3822C226" w:rsidR="00523839" w:rsidRDefault="0052383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6E6">
          <w:rPr>
            <w:noProof/>
          </w:rPr>
          <w:t>12</w:t>
        </w:r>
        <w:r>
          <w:fldChar w:fldCharType="end"/>
        </w:r>
      </w:p>
    </w:sdtContent>
  </w:sdt>
  <w:p w14:paraId="7E601B87" w14:textId="558D15BA" w:rsidR="00345D97" w:rsidRDefault="00345D97">
    <w:pPr>
      <w:pStyle w:val="Podnadpis"/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56235" w14:textId="77777777" w:rsidR="009123D5" w:rsidRDefault="009123D5">
      <w:r>
        <w:separator/>
      </w:r>
    </w:p>
  </w:footnote>
  <w:footnote w:type="continuationSeparator" w:id="0">
    <w:p w14:paraId="14EE660E" w14:textId="77777777" w:rsidR="009123D5" w:rsidRDefault="009123D5">
      <w:r>
        <w:continuationSeparator/>
      </w:r>
    </w:p>
  </w:footnote>
  <w:footnote w:id="1">
    <w:p w14:paraId="17C0BA07" w14:textId="08948B93" w:rsidR="00345D97" w:rsidRDefault="00345D97" w:rsidP="00846B7B">
      <w:pPr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sz w:val="18"/>
          <w:szCs w:val="18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Následně pak v rámcovém programu pro výzkum a inovace </w:t>
      </w:r>
      <w:proofErr w:type="spellStart"/>
      <w:r>
        <w:rPr>
          <w:rFonts w:ascii="Arial" w:eastAsia="Arial" w:hAnsi="Arial" w:cs="Arial"/>
          <w:sz w:val="16"/>
          <w:szCs w:val="16"/>
        </w:rPr>
        <w:t>Horizon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Europe</w:t>
      </w:r>
      <w:proofErr w:type="spellEnd"/>
      <w:r>
        <w:rPr>
          <w:rFonts w:ascii="Arial" w:eastAsia="Arial" w:hAnsi="Arial" w:cs="Arial"/>
          <w:sz w:val="16"/>
          <w:szCs w:val="16"/>
        </w:rPr>
        <w:t>, který nahradí Horizont 2020 od roku 2021.</w:t>
      </w:r>
    </w:p>
  </w:footnote>
  <w:footnote w:id="2">
    <w:p w14:paraId="57AD61C1" w14:textId="77777777" w:rsidR="00345D97" w:rsidRDefault="00345D97" w:rsidP="00846B7B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Statistické údaje jsou platné ke dni 30. 8. 2018 na základě dat z IS </w:t>
      </w:r>
      <w:proofErr w:type="spellStart"/>
      <w:r>
        <w:rPr>
          <w:rFonts w:ascii="Arial" w:eastAsia="Arial" w:hAnsi="Arial" w:cs="Arial"/>
          <w:sz w:val="16"/>
          <w:szCs w:val="16"/>
        </w:rPr>
        <w:t>VaVaI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 portálu MŠMT.</w:t>
      </w:r>
    </w:p>
  </w:footnote>
  <w:footnote w:id="3">
    <w:p w14:paraId="318C0055" w14:textId="7FBC416F" w:rsidR="00345D97" w:rsidRDefault="00345D97" w:rsidP="00846B7B">
      <w:pPr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Následně pak v rámcovém programu pro výzkum a inovace </w:t>
      </w:r>
      <w:proofErr w:type="spellStart"/>
      <w:r>
        <w:rPr>
          <w:rFonts w:ascii="Arial" w:eastAsia="Arial" w:hAnsi="Arial" w:cs="Arial"/>
          <w:sz w:val="16"/>
          <w:szCs w:val="16"/>
        </w:rPr>
        <w:t>Horizon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Europe</w:t>
      </w:r>
      <w:proofErr w:type="spellEnd"/>
      <w:r>
        <w:rPr>
          <w:rFonts w:ascii="Arial" w:eastAsia="Arial" w:hAnsi="Arial" w:cs="Arial"/>
          <w:sz w:val="16"/>
          <w:szCs w:val="16"/>
        </w:rPr>
        <w:t>, který nahradí Horizont 2020 od roku 2021.</w:t>
      </w:r>
    </w:p>
    <w:p w14:paraId="62F580D6" w14:textId="77777777" w:rsidR="00345D97" w:rsidRDefault="00345D97">
      <w:pPr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3E05"/>
    <w:multiLevelType w:val="hybridMultilevel"/>
    <w:tmpl w:val="0494F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23B7"/>
    <w:multiLevelType w:val="multilevel"/>
    <w:tmpl w:val="CFCC7924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118008B4"/>
    <w:multiLevelType w:val="hybridMultilevel"/>
    <w:tmpl w:val="2FEAA1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16AE70E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66F4EA7"/>
    <w:multiLevelType w:val="hybridMultilevel"/>
    <w:tmpl w:val="60921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36186"/>
    <w:multiLevelType w:val="hybridMultilevel"/>
    <w:tmpl w:val="1618D908"/>
    <w:lvl w:ilvl="0" w:tplc="EDAC8EC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26239"/>
    <w:multiLevelType w:val="hybridMultilevel"/>
    <w:tmpl w:val="C136AC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30615"/>
    <w:multiLevelType w:val="hybridMultilevel"/>
    <w:tmpl w:val="1E249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13326"/>
    <w:multiLevelType w:val="multilevel"/>
    <w:tmpl w:val="CFF0A456"/>
    <w:lvl w:ilvl="0">
      <w:start w:val="1"/>
      <w:numFmt w:val="bullet"/>
      <w:lvlText w:val="●"/>
      <w:lvlJc w:val="left"/>
      <w:pPr>
        <w:ind w:left="720" w:firstLine="468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9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47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9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4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98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061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2557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0536"/>
      </w:pPr>
      <w:rPr>
        <w:rFonts w:ascii="Arial" w:eastAsia="Arial" w:hAnsi="Arial" w:cs="Arial"/>
      </w:rPr>
    </w:lvl>
  </w:abstractNum>
  <w:abstractNum w:abstractNumId="9" w15:restartNumberingAfterBreak="0">
    <w:nsid w:val="650E2585"/>
    <w:multiLevelType w:val="multilevel"/>
    <w:tmpl w:val="21AE92CA"/>
    <w:lvl w:ilvl="0">
      <w:start w:val="1"/>
      <w:numFmt w:val="bullet"/>
      <w:lvlText w:val="●"/>
      <w:lvlJc w:val="left"/>
      <w:pPr>
        <w:ind w:left="720" w:firstLine="468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9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47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9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4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98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061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2557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0536"/>
      </w:pPr>
      <w:rPr>
        <w:rFonts w:ascii="Arial" w:eastAsia="Arial" w:hAnsi="Arial" w:cs="Arial"/>
      </w:rPr>
    </w:lvl>
  </w:abstractNum>
  <w:abstractNum w:abstractNumId="10" w15:restartNumberingAfterBreak="0">
    <w:nsid w:val="6D906B94"/>
    <w:multiLevelType w:val="multilevel"/>
    <w:tmpl w:val="B2CE2178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6F5E449A"/>
    <w:multiLevelType w:val="hybridMultilevel"/>
    <w:tmpl w:val="F906DC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86082"/>
    <w:multiLevelType w:val="multilevel"/>
    <w:tmpl w:val="2EAC0500"/>
    <w:lvl w:ilvl="0">
      <w:start w:val="1"/>
      <w:numFmt w:val="decimal"/>
      <w:lvlText w:val="%1."/>
      <w:lvlJc w:val="left"/>
      <w:pPr>
        <w:ind w:left="432" w:firstLine="0"/>
      </w:pPr>
    </w:lvl>
    <w:lvl w:ilvl="1">
      <w:start w:val="1"/>
      <w:numFmt w:val="decimal"/>
      <w:lvlText w:val="%1.%2"/>
      <w:lvlJc w:val="left"/>
      <w:pPr>
        <w:ind w:left="576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  <w:num w:numId="17">
    <w:abstractNumId w:val="5"/>
  </w:num>
  <w:num w:numId="18">
    <w:abstractNumId w:val="4"/>
  </w:num>
  <w:num w:numId="19">
    <w:abstractNumId w:val="7"/>
  </w:num>
  <w:num w:numId="20">
    <w:abstractNumId w:val="11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D6C"/>
    <w:rsid w:val="0001579F"/>
    <w:rsid w:val="000C2609"/>
    <w:rsid w:val="000F6EAC"/>
    <w:rsid w:val="001060D6"/>
    <w:rsid w:val="0023342E"/>
    <w:rsid w:val="002E4869"/>
    <w:rsid w:val="002F7CC4"/>
    <w:rsid w:val="00344F80"/>
    <w:rsid w:val="00345D97"/>
    <w:rsid w:val="00413D1B"/>
    <w:rsid w:val="00434A25"/>
    <w:rsid w:val="00523839"/>
    <w:rsid w:val="0053774A"/>
    <w:rsid w:val="005455E5"/>
    <w:rsid w:val="00592CA8"/>
    <w:rsid w:val="00592FDA"/>
    <w:rsid w:val="005B3F0D"/>
    <w:rsid w:val="005D67FE"/>
    <w:rsid w:val="00696673"/>
    <w:rsid w:val="006A6D6C"/>
    <w:rsid w:val="007031C7"/>
    <w:rsid w:val="00765F1C"/>
    <w:rsid w:val="007C68C6"/>
    <w:rsid w:val="00846B7B"/>
    <w:rsid w:val="00883FC7"/>
    <w:rsid w:val="0090770D"/>
    <w:rsid w:val="009123D5"/>
    <w:rsid w:val="0096699C"/>
    <w:rsid w:val="00A05D79"/>
    <w:rsid w:val="00A5666E"/>
    <w:rsid w:val="00A64125"/>
    <w:rsid w:val="00AF2D60"/>
    <w:rsid w:val="00B02F92"/>
    <w:rsid w:val="00B042CF"/>
    <w:rsid w:val="00B111C5"/>
    <w:rsid w:val="00B2557C"/>
    <w:rsid w:val="00B62DAA"/>
    <w:rsid w:val="00B833BC"/>
    <w:rsid w:val="00B91BCD"/>
    <w:rsid w:val="00C10973"/>
    <w:rsid w:val="00C1251C"/>
    <w:rsid w:val="00C32688"/>
    <w:rsid w:val="00C84EFA"/>
    <w:rsid w:val="00C92BC3"/>
    <w:rsid w:val="00CC158B"/>
    <w:rsid w:val="00CD7351"/>
    <w:rsid w:val="00CE4CC8"/>
    <w:rsid w:val="00D17B0C"/>
    <w:rsid w:val="00D966C5"/>
    <w:rsid w:val="00EB02E3"/>
    <w:rsid w:val="00EB50FB"/>
    <w:rsid w:val="00EC0611"/>
    <w:rsid w:val="00ED1CC2"/>
    <w:rsid w:val="00F05120"/>
    <w:rsid w:val="00F103AB"/>
    <w:rsid w:val="00F807E6"/>
    <w:rsid w:val="00FA567A"/>
    <w:rsid w:val="00FC36E6"/>
    <w:rsid w:val="00FC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ACC9"/>
  <w15:docId w15:val="{EE5243A6-3BA6-485E-AAE1-900D83C1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4125"/>
  </w:style>
  <w:style w:type="paragraph" w:styleId="Nadpis1">
    <w:name w:val="heading 1"/>
    <w:basedOn w:val="Normln"/>
    <w:next w:val="Normln"/>
    <w:link w:val="Nadpis1Char"/>
    <w:uiPriority w:val="9"/>
    <w:qFormat/>
    <w:rsid w:val="00A64125"/>
    <w:pPr>
      <w:keepNext/>
      <w:keepLines/>
      <w:numPr>
        <w:numId w:val="1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4125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4125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4125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4125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4125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4125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4125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4125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A641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4125"/>
    <w:pPr>
      <w:numPr>
        <w:ilvl w:val="1"/>
      </w:numPr>
    </w:pPr>
    <w:rPr>
      <w:color w:val="5A5A5A" w:themeColor="text1" w:themeTint="A5"/>
      <w:spacing w:val="10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1">
    <w:name w:val="1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A6412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A6412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A6412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A6412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rsid w:val="00A64125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64125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41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41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41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6412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NzevChar">
    <w:name w:val="Název Char"/>
    <w:basedOn w:val="Standardnpsmoodstavce"/>
    <w:link w:val="Nzev"/>
    <w:uiPriority w:val="10"/>
    <w:rsid w:val="00A641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odnadpisChar">
    <w:name w:val="Podnadpis Char"/>
    <w:basedOn w:val="Standardnpsmoodstavce"/>
    <w:link w:val="Podnadpis"/>
    <w:uiPriority w:val="11"/>
    <w:rsid w:val="00A641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641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64125"/>
    <w:rPr>
      <w:i/>
      <w:iCs/>
      <w:color w:val="auto"/>
    </w:rPr>
  </w:style>
  <w:style w:type="paragraph" w:styleId="Bezmezer">
    <w:name w:val="No Spacing"/>
    <w:uiPriority w:val="1"/>
    <w:qFormat/>
    <w:rsid w:val="00A64125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A641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41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41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41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641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641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641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641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641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6412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6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66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566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17B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7B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7B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7B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7B0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03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31C7"/>
  </w:style>
  <w:style w:type="paragraph" w:styleId="Zpat">
    <w:name w:val="footer"/>
    <w:basedOn w:val="Normln"/>
    <w:link w:val="ZpatChar"/>
    <w:uiPriority w:val="99"/>
    <w:unhideWhenUsed/>
    <w:rsid w:val="00703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ftie.org/sites/default/files/Taftie_TF_CompAct_Final_Report%20_LV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07FF-0ADD-4C0C-BDA2-BCE997BD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5175</Words>
  <Characters>30534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35638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Lukáš</dc:creator>
  <cp:keywords/>
  <cp:lastModifiedBy>Michaela Orlová</cp:lastModifiedBy>
  <cp:revision>15</cp:revision>
  <cp:lastPrinted>2019-03-12T17:03:00Z</cp:lastPrinted>
  <dcterms:created xsi:type="dcterms:W3CDTF">2019-02-28T14:54:00Z</dcterms:created>
  <dcterms:modified xsi:type="dcterms:W3CDTF">2019-03-25T11:39:00Z</dcterms:modified>
</cp:coreProperties>
</file>